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Employment Agreement – Senior Legal Associate</w:t>
      </w:r>
    </w:p>
    <w:bookmarkStart w:id="83" w:name="employment-agreement"/>
    <w:p>
      <w:pPr>
        <w:pStyle w:val="Heading1"/>
      </w:pPr>
      <w:r>
        <w:t xml:space="preserve">EMPLOYMENT AGREEMENT</w:t>
      </w:r>
    </w:p>
    <w:bookmarkStart w:id="9" w:name="senior-legal-associate"/>
    <w:p>
      <w:pPr>
        <w:pStyle w:val="Heading2"/>
      </w:pPr>
      <w:r>
        <w:t xml:space="preserve">SENIOR LEGAL ASSOCIATE</w:t>
      </w:r>
    </w:p>
    <w:p>
      <w:pPr>
        <w:pStyle w:val="FirstParagraph"/>
      </w:pPr>
      <w:r>
        <w:rPr>
          <w:b/>
          <w:bCs/>
        </w:rPr>
        <w:t xml:space="preserve">Agreement No:</w:t>
      </w:r>
      <w:r>
        <w:t xml:space="preserve"> </w:t>
      </w:r>
      <w:r>
        <w:t xml:space="preserve">EA/SLA/2025/045</w:t>
      </w:r>
      <w:r>
        <w:br/>
      </w:r>
      <w:r>
        <w:rPr>
          <w:b/>
          <w:bCs/>
        </w:rPr>
        <w:t xml:space="preserve">Effective Date:</w:t>
      </w:r>
      <w:r>
        <w:t xml:space="preserve"> </w:t>
      </w:r>
      <w:r>
        <w:t xml:space="preserve">1 April 2025</w:t>
      </w:r>
      <w:r>
        <w:br/>
      </w:r>
      <w:r>
        <w:rPr>
          <w:b/>
          <w:bCs/>
        </w:rPr>
        <w:t xml:space="preserve">Governing Law:</w:t>
      </w:r>
      <w:r>
        <w:t xml:space="preserve"> </w:t>
      </w:r>
      <w:r>
        <w:t xml:space="preserve">Indian Contract Act, 1872; Industrial Disputes Act, 1947; Shops and Establishments Act</w:t>
      </w:r>
    </w:p>
    <w:bookmarkEnd w:id="9"/>
    <w:bookmarkStart w:id="10" w:name="parties"/>
    <w:p>
      <w:pPr>
        <w:pStyle w:val="Heading2"/>
      </w:pPr>
      <w:r>
        <w:t xml:space="preserve">PARTIES</w:t>
      </w:r>
    </w:p>
    <w:p>
      <w:pPr>
        <w:pStyle w:val="FirstParagraph"/>
      </w:pPr>
      <w:r>
        <w:rPr>
          <w:b/>
          <w:bCs/>
        </w:rPr>
        <w:t xml:space="preserve">EMPLOYER:</w:t>
      </w:r>
      <w:r>
        <w:t xml:space="preserve"> </w:t>
      </w:r>
      <w:r>
        <w:t xml:space="preserve">Khaitan Legal Associates LLP, a limited liability partnership registered under the Limited Liability Partnership Act, 2008, having its principal place of business at 14, India Habitat Centre, Lodhi Road, New Delhi 110003 ("Employer" or "Firm").</w:t>
      </w:r>
    </w:p>
    <w:p>
      <w:pPr>
        <w:pStyle w:val="BodyText"/>
      </w:pPr>
      <w:r>
        <w:rPr>
          <w:b/>
          <w:bCs/>
        </w:rPr>
        <w:t xml:space="preserve">EMPLOYEE:</w:t>
      </w:r>
      <w:r>
        <w:t xml:space="preserve"> </w:t>
      </w:r>
      <w:r>
        <w:t xml:space="preserve">Mr. Arjun Kapoor, son of Mr. Rajesh Kapoor, residing at 45, Safdarjung Enclave, New Delhi 110029 ("Employee").</w:t>
      </w:r>
    </w:p>
    <w:bookmarkEnd w:id="10"/>
    <w:bookmarkStart w:id="11" w:name="recitals"/>
    <w:p>
      <w:pPr>
        <w:pStyle w:val="Heading2"/>
      </w:pPr>
      <w:r>
        <w:t xml:space="preserve">RECITALS</w:t>
      </w:r>
    </w:p>
    <w:p>
      <w:pPr>
        <w:pStyle w:val="FirstParagraph"/>
      </w:pPr>
      <w:r>
        <w:t xml:space="preserve">WHEREAS the Employer is a reputed law firm engaged in the practice of corporate law, mergers &amp; acquisitions, and commercial litigation;</w:t>
      </w:r>
    </w:p>
    <w:p>
      <w:pPr>
        <w:pStyle w:val="BodyText"/>
      </w:pPr>
      <w:r>
        <w:t xml:space="preserve">WHEREAS the Employee is a qualified advocate with experience in corporate and commercial law and has been selected for the position of Senior Legal Associate;</w:t>
      </w:r>
    </w:p>
    <w:p>
      <w:pPr>
        <w:pStyle w:val="BodyText"/>
      </w:pPr>
      <w:r>
        <w:t xml:space="preserve">NOW, THEREFORE, the Parties agree as follows:</w:t>
      </w:r>
    </w:p>
    <w:bookmarkEnd w:id="11"/>
    <w:bookmarkStart w:id="12" w:name="article-1-definitions"/>
    <w:p>
      <w:pPr>
        <w:pStyle w:val="Heading2"/>
      </w:pPr>
      <w:r>
        <w:t xml:space="preserve">ARTICLE 1 — DEFINITIONS</w:t>
      </w:r>
    </w:p>
    <w:p>
      <w:pPr>
        <w:pStyle w:val="FirstParagraph"/>
      </w:pPr>
      <w:r>
        <w:rPr>
          <w:b/>
          <w:bCs/>
        </w:rPr>
        <w:t xml:space="preserve">"Confidential Information"</w:t>
      </w:r>
      <w:r>
        <w:t xml:space="preserve"> </w:t>
      </w:r>
      <w:r>
        <w:t xml:space="preserve">has the meaning in Article 10.</w:t>
      </w:r>
      <w:r>
        <w:t xml:space="preserve"> </w:t>
      </w:r>
      <w:r>
        <w:rPr>
          <w:b/>
          <w:bCs/>
        </w:rPr>
        <w:t xml:space="preserve">"Effective Date"</w:t>
      </w:r>
      <w:r>
        <w:t xml:space="preserve"> </w:t>
      </w:r>
      <w:r>
        <w:t xml:space="preserve">means 1 April 2025.</w:t>
      </w:r>
      <w:r>
        <w:t xml:space="preserve"> </w:t>
      </w:r>
      <w:r>
        <w:rPr>
          <w:b/>
          <w:bCs/>
        </w:rPr>
        <w:t xml:space="preserve">"Fixed Term"</w:t>
      </w:r>
      <w:r>
        <w:t xml:space="preserve"> </w:t>
      </w:r>
      <w:r>
        <w:t xml:space="preserve">means thirty-six (36) months from Effective Date.</w:t>
      </w:r>
      <w:r>
        <w:t xml:space="preserve"> </w:t>
      </w:r>
      <w:r>
        <w:rPr>
          <w:b/>
          <w:bCs/>
        </w:rPr>
        <w:t xml:space="preserve">"Garden Leave"</w:t>
      </w:r>
      <w:r>
        <w:t xml:space="preserve"> </w:t>
      </w:r>
      <w:r>
        <w:t xml:space="preserve">means the period during which the Employee is not required to perform duties but remains employed.</w:t>
      </w:r>
      <w:r>
        <w:t xml:space="preserve"> </w:t>
      </w:r>
      <w:r>
        <w:rPr>
          <w:b/>
          <w:bCs/>
        </w:rPr>
        <w:t xml:space="preserve">"Restrictive Covenants"</w:t>
      </w:r>
      <w:r>
        <w:t xml:space="preserve"> </w:t>
      </w:r>
      <w:r>
        <w:t xml:space="preserve">means the non-compete, non-solicitation, and confidentiality obligations.</w:t>
      </w:r>
      <w:r>
        <w:t xml:space="preserve"> </w:t>
      </w:r>
      <w:r>
        <w:rPr>
          <w:b/>
          <w:bCs/>
        </w:rPr>
        <w:t xml:space="preserve">"Salary"</w:t>
      </w:r>
      <w:r>
        <w:t xml:space="preserve"> </w:t>
      </w:r>
      <w:r>
        <w:t xml:space="preserve">has the meaning in Article 4.</w:t>
      </w:r>
      <w:r>
        <w:t xml:space="preserve"> </w:t>
      </w:r>
      <w:r>
        <w:rPr>
          <w:b/>
          <w:bCs/>
        </w:rPr>
        <w:t xml:space="preserve">"Termination Date"</w:t>
      </w:r>
      <w:r>
        <w:t xml:space="preserve"> </w:t>
      </w:r>
      <w:r>
        <w:t xml:space="preserve">means the last day of employment.</w:t>
      </w:r>
    </w:p>
    <w:bookmarkEnd w:id="12"/>
    <w:bookmarkStart w:id="17" w:name="article-2-appointment-and-role"/>
    <w:p>
      <w:pPr>
        <w:pStyle w:val="Heading2"/>
      </w:pPr>
      <w:r>
        <w:t xml:space="preserve">ARTICLE 2 — APPOINTMENT AND ROLE</w:t>
      </w:r>
    </w:p>
    <w:bookmarkStart w:id="13" w:name="position"/>
    <w:p>
      <w:pPr>
        <w:pStyle w:val="Heading3"/>
      </w:pPr>
      <w:r>
        <w:t xml:space="preserve">2.1 Position</w:t>
      </w:r>
    </w:p>
    <w:p>
      <w:pPr>
        <w:pStyle w:val="FirstParagraph"/>
      </w:pPr>
      <w:r>
        <w:t xml:space="preserve">The Employee is appointed as Senior Legal Associate in the Corporate Law and M&amp;A practice. The Employee shall report to the designated Partner(s) and shall perform such duties as are assigned from time to time, consistent with the role.</w:t>
      </w:r>
    </w:p>
    <w:bookmarkEnd w:id="13"/>
    <w:bookmarkStart w:id="14" w:name="duties"/>
    <w:p>
      <w:pPr>
        <w:pStyle w:val="Heading3"/>
      </w:pPr>
      <w:r>
        <w:t xml:space="preserve">2.2 Duties</w:t>
      </w:r>
    </w:p>
    <w:p>
      <w:pPr>
        <w:pStyle w:val="FirstParagraph"/>
      </w:pPr>
      <w:r>
        <w:t xml:space="preserve">The Employee shall: (a) provide legal advice and support on corporate transactions, M&amp;A, joint ventures, and commercial matters; (b) draft and review agreements, opinions, and transactional documents; (c) assist in due diligence and regulatory filings; (d) conduct legal research; (e) represent the Firm and its clients before regulators and in negotiations; (f) supervise junior associates as assigned; (g) comply with the Firm's policies, the Bar Council of India rules, and applicable law.</w:t>
      </w:r>
    </w:p>
    <w:bookmarkEnd w:id="14"/>
    <w:bookmarkStart w:id="15" w:name="place-of-work"/>
    <w:p>
      <w:pPr>
        <w:pStyle w:val="Heading3"/>
      </w:pPr>
      <w:r>
        <w:t xml:space="preserve">2.3 Place of Work</w:t>
      </w:r>
    </w:p>
    <w:p>
      <w:pPr>
        <w:pStyle w:val="FirstParagraph"/>
      </w:pPr>
      <w:r>
        <w:t xml:space="preserve">The Employee shall be based at the Firm's New Delhi office. The Employee may be required to travel to other offices or client locations as necessary. Hybrid work may be permitted as per Firm policy.</w:t>
      </w:r>
    </w:p>
    <w:bookmarkEnd w:id="15"/>
    <w:bookmarkStart w:id="16" w:name="exclusive-service"/>
    <w:p>
      <w:pPr>
        <w:pStyle w:val="Heading3"/>
      </w:pPr>
      <w:r>
        <w:t xml:space="preserve">2.4 Exclusive Service</w:t>
      </w:r>
    </w:p>
    <w:p>
      <w:pPr>
        <w:pStyle w:val="FirstParagraph"/>
      </w:pPr>
      <w:r>
        <w:t xml:space="preserve">The Employee shall devote his full time, attention, and skill to the Firm's business. The Employee shall not engage in any other employment, business, or profession without prior written consent. Pro bono work and bar association activities may be permitted with prior approval.</w:t>
      </w:r>
    </w:p>
    <w:bookmarkEnd w:id="16"/>
    <w:bookmarkEnd w:id="17"/>
    <w:bookmarkStart w:id="18" w:name="article-3-term"/>
    <w:p>
      <w:pPr>
        <w:pStyle w:val="Heading2"/>
      </w:pPr>
      <w:r>
        <w:t xml:space="preserve">ARTICLE 3 — TERM</w:t>
      </w:r>
    </w:p>
    <w:p>
      <w:pPr>
        <w:pStyle w:val="FirstParagraph"/>
      </w:pPr>
      <w:r>
        <w:t xml:space="preserve">The employment is for a Fixed Term of thirty-six (36) months commencing 1 April 2025 and ending 31 March 2028, unless earlier terminated. Upon expiry, the Parties may agree to renew on mutually acceptable terms. During the Fixed Term, the Employer may terminate as per Article 12; the Employee may resign as per Article 13.</w:t>
      </w:r>
    </w:p>
    <w:bookmarkEnd w:id="18"/>
    <w:bookmarkStart w:id="23" w:name="article-4-remuneration"/>
    <w:p>
      <w:pPr>
        <w:pStyle w:val="Heading2"/>
      </w:pPr>
      <w:r>
        <w:t xml:space="preserve">ARTICLE 4 — REMUNERATION</w:t>
      </w:r>
    </w:p>
    <w:bookmarkStart w:id="19" w:name="salary"/>
    <w:p>
      <w:pPr>
        <w:pStyle w:val="Heading3"/>
      </w:pPr>
      <w:r>
        <w:t xml:space="preserve">4.1 Salary</w:t>
      </w:r>
    </w:p>
    <w:p>
      <w:pPr>
        <w:pStyle w:val="FirstParagraph"/>
      </w:pPr>
      <w:r>
        <w:t xml:space="preserve">Basic salary: ₹18,50,000 (Rupees Eighteen Lakh Fifty Thousand) per annum, payable monthly in arrears. The Salary shall be reviewed annually; any increase is discretionary. The Salary is inclusive of all allowances except as specifically provided.</w:t>
      </w:r>
    </w:p>
    <w:bookmarkEnd w:id="19"/>
    <w:bookmarkStart w:id="20" w:name="variable-pay"/>
    <w:p>
      <w:pPr>
        <w:pStyle w:val="Heading3"/>
      </w:pPr>
      <w:r>
        <w:t xml:space="preserve">4.2 Variable Pay</w:t>
      </w:r>
    </w:p>
    <w:p>
      <w:pPr>
        <w:pStyle w:val="FirstParagraph"/>
      </w:pPr>
      <w:r>
        <w:t xml:space="preserve">The Employee may be eligible for a performance bonus of up to twenty percent (20%) of annual Salary, payable after the financial year end, based on individual and practice performance. Bonus is discretionary and not a condition of employment.</w:t>
      </w:r>
    </w:p>
    <w:bookmarkEnd w:id="20"/>
    <w:bookmarkStart w:id="21" w:name="benefits"/>
    <w:p>
      <w:pPr>
        <w:pStyle w:val="Heading3"/>
      </w:pPr>
      <w:r>
        <w:t xml:space="preserve">4.3 Benefits</w:t>
      </w:r>
    </w:p>
    <w:p>
      <w:pPr>
        <w:pStyle w:val="FirstParagraph"/>
      </w:pPr>
      <w:r>
        <w:t xml:space="preserve">The Employee shall be entitled to: (a) medical insurance for self and family as per Firm policy; (b) accidental death and disability insurance; (c) leave as per Article 6; (d) reimbursement of reasonable business expenses; (e) professional development allowance of ₹50,000 per annum. Benefits are subject to Firm policy as amended from time to time.</w:t>
      </w:r>
    </w:p>
    <w:bookmarkEnd w:id="21"/>
    <w:bookmarkStart w:id="22" w:name="deductions"/>
    <w:p>
      <w:pPr>
        <w:pStyle w:val="Heading3"/>
      </w:pPr>
      <w:r>
        <w:t xml:space="preserve">4.4 Deductions</w:t>
      </w:r>
    </w:p>
    <w:p>
      <w:pPr>
        <w:pStyle w:val="FirstParagraph"/>
      </w:pPr>
      <w:r>
        <w:t xml:space="preserve">The Employer shall deduct TDS, provident fund (if applicable), and other statutory deductions as required by law. The Employee shall provide necessary documents for tax and PF compliance.</w:t>
      </w:r>
    </w:p>
    <w:bookmarkEnd w:id="22"/>
    <w:bookmarkEnd w:id="23"/>
    <w:bookmarkStart w:id="24" w:name="article-5-working-hours"/>
    <w:p>
      <w:pPr>
        <w:pStyle w:val="Heading2"/>
      </w:pPr>
      <w:r>
        <w:t xml:space="preserve">ARTICLE 5 — WORKING HOURS</w:t>
      </w:r>
    </w:p>
    <w:p>
      <w:pPr>
        <w:pStyle w:val="FirstParagraph"/>
      </w:pPr>
      <w:r>
        <w:t xml:space="preserve">The Employee shall work such hours as are necessary to discharge his duties. The Firm operates in an environment where client deadlines may require extended hours. The Employee shall not be entitled to overtime; the Salary is intended to compensate for all hours worked. Flexible timing may be permitted as per policy, subject to client and matter requirements.</w:t>
      </w:r>
    </w:p>
    <w:bookmarkEnd w:id="24"/>
    <w:bookmarkStart w:id="28" w:name="article-6-leave"/>
    <w:p>
      <w:pPr>
        <w:pStyle w:val="Heading2"/>
      </w:pPr>
      <w:r>
        <w:t xml:space="preserve">ARTICLE 6 — LEAVE</w:t>
      </w:r>
    </w:p>
    <w:bookmarkStart w:id="25" w:name="annual-leave"/>
    <w:p>
      <w:pPr>
        <w:pStyle w:val="Heading3"/>
      </w:pPr>
      <w:r>
        <w:t xml:space="preserve">6.1 Annual Leave</w:t>
      </w:r>
    </w:p>
    <w:p>
      <w:pPr>
        <w:pStyle w:val="FirstParagraph"/>
      </w:pPr>
      <w:r>
        <w:t xml:space="preserve">Twenty-two (22) days per annum. Leave shall be applied for in advance and granted subject to work exigencies. Unused leave may be carried forward to the next year to a maximum of ten (10) days, or encashed at the Employer's option upon separation.</w:t>
      </w:r>
    </w:p>
    <w:bookmarkEnd w:id="25"/>
    <w:bookmarkStart w:id="26" w:name="sick-leave"/>
    <w:p>
      <w:pPr>
        <w:pStyle w:val="Heading3"/>
      </w:pPr>
      <w:r>
        <w:t xml:space="preserve">6.2 Sick Leave</w:t>
      </w:r>
    </w:p>
    <w:p>
      <w:pPr>
        <w:pStyle w:val="FirstParagraph"/>
      </w:pPr>
      <w:r>
        <w:t xml:space="preserve">Twelve (12) days per annum. Medical certificate required for absence exceeding three (3) consecutive days.</w:t>
      </w:r>
    </w:p>
    <w:bookmarkEnd w:id="26"/>
    <w:bookmarkStart w:id="27" w:name="other-leave"/>
    <w:p>
      <w:pPr>
        <w:pStyle w:val="Heading3"/>
      </w:pPr>
      <w:r>
        <w:t xml:space="preserve">6.3 Other Leave</w:t>
      </w:r>
    </w:p>
    <w:p>
      <w:pPr>
        <w:pStyle w:val="FirstParagraph"/>
      </w:pPr>
      <w:r>
        <w:t xml:space="preserve">Maternity, paternity, bereavement, and other leave as per applicable law and Firm policy.</w:t>
      </w:r>
    </w:p>
    <w:bookmarkEnd w:id="27"/>
    <w:bookmarkEnd w:id="28"/>
    <w:bookmarkStart w:id="29" w:name="Xbebf816173e90c29595cfd2fc55a1875f20616e"/>
    <w:p>
      <w:pPr>
        <w:pStyle w:val="Heading2"/>
      </w:pPr>
      <w:r>
        <w:t xml:space="preserve">ARTICLE 7 — INTELLECTUAL PROPERTY AND WORK PRODUCT</w:t>
      </w:r>
    </w:p>
    <w:p>
      <w:pPr>
        <w:pStyle w:val="FirstParagraph"/>
      </w:pPr>
      <w:r>
        <w:t xml:space="preserve">All work product, documents, opinions, research, templates, and materials created by the Employee in the course of employment shall be the property of the Firm. The Employee assigns all rights, title, and interest therein to the Firm. The Employee shall not retain copies upon termination except as permitted for professional portfolio with Firm consent.</w:t>
      </w:r>
    </w:p>
    <w:bookmarkEnd w:id="29"/>
    <w:bookmarkStart w:id="34" w:name="article-8-restrictive-covenants"/>
    <w:p>
      <w:pPr>
        <w:pStyle w:val="Heading2"/>
      </w:pPr>
      <w:r>
        <w:t xml:space="preserve">ARTICLE 8 — RESTRICTIVE COVENANTS</w:t>
      </w:r>
    </w:p>
    <w:bookmarkStart w:id="30" w:name="non-compete"/>
    <w:p>
      <w:pPr>
        <w:pStyle w:val="Heading3"/>
      </w:pPr>
      <w:r>
        <w:t xml:space="preserve">8.1 Non-Compete</w:t>
      </w:r>
    </w:p>
    <w:p>
      <w:pPr>
        <w:pStyle w:val="FirstParagraph"/>
      </w:pPr>
      <w:r>
        <w:t xml:space="preserve">During employment and for twelve (12) months after Termination Date, the Employee shall not, without prior written consent, directly or indirectly: (a) join or advise any law firm in India that competes with the Firm in corporate/M&amp;A practice; (b) provide legal services to clients of the Firm (on whose matters the Employee worked in the twelve (12) months prior to termination) in respect of the same or similar matters. This restriction applies to the Employee personally and to any entity he controls or in which he has a significant role.</w:t>
      </w:r>
    </w:p>
    <w:bookmarkEnd w:id="30"/>
    <w:bookmarkStart w:id="31" w:name="non-solicitation"/>
    <w:p>
      <w:pPr>
        <w:pStyle w:val="Heading3"/>
      </w:pPr>
      <w:r>
        <w:t xml:space="preserve">8.2 Non-Solicitation</w:t>
      </w:r>
    </w:p>
    <w:p>
      <w:pPr>
        <w:pStyle w:val="FirstParagraph"/>
      </w:pPr>
      <w:r>
        <w:t xml:space="preserve">During employment and for twelve (12) months after Termination Date, the Employee shall not solicit or induce: (a) any client of the Firm (with whom the Employee had material contact) to cease or reduce business with the Firm; (b) any employee or partner of the Firm to leave the Firm.</w:t>
      </w:r>
    </w:p>
    <w:bookmarkEnd w:id="31"/>
    <w:bookmarkStart w:id="32" w:name="garden-leave"/>
    <w:p>
      <w:pPr>
        <w:pStyle w:val="Heading3"/>
      </w:pPr>
      <w:r>
        <w:t xml:space="preserve">8.3 Garden Leave</w:t>
      </w:r>
    </w:p>
    <w:p>
      <w:pPr>
        <w:pStyle w:val="FirstParagraph"/>
      </w:pPr>
      <w:r>
        <w:t xml:space="preserve">The Employer may place the Employee on Garden Leave during the notice period. During Garden Leave, the Employee shall remain employed, receive Salary and benefits, but shall not perform duties or attend office. The non-compete and non-solicitation periods shall run concurrently with Garden Leave where applicable.</w:t>
      </w:r>
    </w:p>
    <w:bookmarkEnd w:id="32"/>
    <w:bookmarkStart w:id="33" w:name="consideration"/>
    <w:p>
      <w:pPr>
        <w:pStyle w:val="Heading3"/>
      </w:pPr>
      <w:r>
        <w:t xml:space="preserve">8.4 Consideration</w:t>
      </w:r>
    </w:p>
    <w:p>
      <w:pPr>
        <w:pStyle w:val="FirstParagraph"/>
      </w:pPr>
      <w:r>
        <w:t xml:space="preserve">The Salary and benefits during employment, and any garden leave pay, constitute consideration for the Restrictive Covenants. If any covenant is held invalid or unenforceable, it shall be read down to the maximum extent permitted by law.</w:t>
      </w:r>
    </w:p>
    <w:bookmarkEnd w:id="33"/>
    <w:bookmarkEnd w:id="34"/>
    <w:bookmarkStart w:id="38" w:name="article-9-confidentiality"/>
    <w:p>
      <w:pPr>
        <w:pStyle w:val="Heading2"/>
      </w:pPr>
      <w:r>
        <w:t xml:space="preserve">ARTICLE 9 — CONFIDENTIALITY</w:t>
      </w:r>
    </w:p>
    <w:bookmarkStart w:id="35" w:name="confidential-information"/>
    <w:p>
      <w:pPr>
        <w:pStyle w:val="Heading3"/>
      </w:pPr>
      <w:r>
        <w:t xml:space="preserve">9.1 Confidential Information</w:t>
      </w:r>
    </w:p>
    <w:p>
      <w:pPr>
        <w:pStyle w:val="FirstParagraph"/>
      </w:pPr>
      <w:r>
        <w:t xml:space="preserve">"Confidential Information" means all non-public information relating to the Firm, its clients, matters, business, finances, and the terms of this Agreement, including client data, case strategies, billing information, and internal policies.</w:t>
      </w:r>
    </w:p>
    <w:bookmarkEnd w:id="35"/>
    <w:bookmarkStart w:id="36" w:name="obligations"/>
    <w:p>
      <w:pPr>
        <w:pStyle w:val="Heading3"/>
      </w:pPr>
      <w:r>
        <w:t xml:space="preserve">9.2 Obligations</w:t>
      </w:r>
    </w:p>
    <w:p>
      <w:pPr>
        <w:pStyle w:val="FirstParagraph"/>
      </w:pPr>
      <w:r>
        <w:t xml:space="preserve">The Employee shall: (a) hold Confidential Information in strict confidence; (b) use it only for the Firm's business; (c) not disclose to any third party; (d) return or destroy upon termination. The obligation survives indefinitely for trade secrets and for five (5) years for other Confidential Information.</w:t>
      </w:r>
    </w:p>
    <w:bookmarkEnd w:id="36"/>
    <w:bookmarkStart w:id="37" w:name="exceptions"/>
    <w:p>
      <w:pPr>
        <w:pStyle w:val="Heading3"/>
      </w:pPr>
      <w:r>
        <w:t xml:space="preserve">9.3 Exceptions</w:t>
      </w:r>
    </w:p>
    <w:p>
      <w:pPr>
        <w:pStyle w:val="FirstParagraph"/>
      </w:pPr>
      <w:r>
        <w:t xml:space="preserve">Disclosure as required by law or court order (with prior notice to Firm where lawful); information that is or becomes publicly available through no fault of the Employee; information rightfully known to the Employee prior to employment.</w:t>
      </w:r>
    </w:p>
    <w:bookmarkEnd w:id="37"/>
    <w:bookmarkEnd w:id="38"/>
    <w:bookmarkStart w:id="43" w:name="article-10-termination"/>
    <w:p>
      <w:pPr>
        <w:pStyle w:val="Heading2"/>
      </w:pPr>
      <w:r>
        <w:t xml:space="preserve">ARTICLE 10 — TERMINATION</w:t>
      </w:r>
    </w:p>
    <w:bookmarkStart w:id="39" w:name="termination-by-employer-for-cause"/>
    <w:p>
      <w:pPr>
        <w:pStyle w:val="Heading3"/>
      </w:pPr>
      <w:r>
        <w:t xml:space="preserve">10.1 Termination by Employer for Cause</w:t>
      </w:r>
    </w:p>
    <w:p>
      <w:pPr>
        <w:pStyle w:val="FirstParagraph"/>
      </w:pPr>
      <w:r>
        <w:t xml:space="preserve">The Employer may terminate immediately for: (a) material breach of this Agreement; (b) misconduct, fraud, or dishonesty; (c) gross negligence; (d) violation of professional ethics or Bar Council rules; (e) conviction for a criminal offence; (f) habitual absenteeism or insubordination; (g) conflict of interest. No notice or severance payable.</w:t>
      </w:r>
    </w:p>
    <w:bookmarkEnd w:id="39"/>
    <w:bookmarkStart w:id="40" w:name="termination-by-employer-without-cause"/>
    <w:p>
      <w:pPr>
        <w:pStyle w:val="Heading3"/>
      </w:pPr>
      <w:r>
        <w:t xml:space="preserve">10.2 Termination by Employer Without Cause</w:t>
      </w:r>
    </w:p>
    <w:p>
      <w:pPr>
        <w:pStyle w:val="FirstParagraph"/>
      </w:pPr>
      <w:r>
        <w:t xml:space="preserve">The Employer may terminate without cause on three (3) months' written notice or payment in lieu. Upon termination without cause, the Employer shall pay: (a) salary for the notice period (or pay in lieu); (b) accrued leave encashment; (c) any unpaid bonus for completed year; (d) statutory dues. No further severance unless as per policy.</w:t>
      </w:r>
    </w:p>
    <w:bookmarkEnd w:id="40"/>
    <w:bookmarkStart w:id="41" w:name="resignation-by-employee"/>
    <w:p>
      <w:pPr>
        <w:pStyle w:val="Heading3"/>
      </w:pPr>
      <w:r>
        <w:t xml:space="preserve">10.3 Resignation by Employee</w:t>
      </w:r>
    </w:p>
    <w:p>
      <w:pPr>
        <w:pStyle w:val="FirstParagraph"/>
      </w:pPr>
      <w:r>
        <w:t xml:space="preserve">The Employee may resign on three (3) months' written notice. The Employer may waive or shorten the notice. During notice, the Employer may place the Employee on Garden Leave. The Employee shall complete handover and return all Firm property.</w:t>
      </w:r>
    </w:p>
    <w:bookmarkEnd w:id="41"/>
    <w:bookmarkStart w:id="42" w:name="fixed-term-expiry"/>
    <w:p>
      <w:pPr>
        <w:pStyle w:val="Heading3"/>
      </w:pPr>
      <w:r>
        <w:t xml:space="preserve">10.4 Fixed Term Expiry</w:t>
      </w:r>
    </w:p>
    <w:p>
      <w:pPr>
        <w:pStyle w:val="FirstParagraph"/>
      </w:pPr>
      <w:r>
        <w:t xml:space="preserve">Upon expiry of the Fixed Term without renewal, employment ends. The Employer shall pay accrued salary, leave encashment, and statutory dues. No severance unless agreed.</w:t>
      </w:r>
    </w:p>
    <w:bookmarkEnd w:id="42"/>
    <w:bookmarkEnd w:id="43"/>
    <w:bookmarkStart w:id="44" w:name="article-11-indemnification"/>
    <w:p>
      <w:pPr>
        <w:pStyle w:val="Heading2"/>
      </w:pPr>
      <w:r>
        <w:t xml:space="preserve">ARTICLE 11 — INDEMNIFICATION</w:t>
      </w:r>
    </w:p>
    <w:p>
      <w:pPr>
        <w:pStyle w:val="FirstParagraph"/>
      </w:pPr>
      <w:r>
        <w:t xml:space="preserve">The Employer shall indemnify the Employee for acts done in good faith in the course of employment, subject to the Firm's insurance and partnership deed. The Employee shall not be liable for Firm or client claims arising from advice given in accordance with instructions, subject to professional negligence exclusions. The Employee shall cooperate in any claim and not admit liability without Firm consent.</w:t>
      </w:r>
    </w:p>
    <w:bookmarkEnd w:id="44"/>
    <w:bookmarkStart w:id="45" w:name="article-12-dispute-resolution"/>
    <w:p>
      <w:pPr>
        <w:pStyle w:val="Heading2"/>
      </w:pPr>
      <w:r>
        <w:t xml:space="preserve">ARTICLE 12 — DISPUTE RESOLUTION</w:t>
      </w:r>
    </w:p>
    <w:p>
      <w:pPr>
        <w:pStyle w:val="FirstParagraph"/>
      </w:pPr>
      <w:r>
        <w:t xml:space="preserve">Any dispute shall first be discussed with the designated Partner. Failing resolution, the dispute shall be referred to arbitration under the Arbitration and Conciliation Act, 1996. Sole arbitrator mutually appointed; failing agreement, by the High Court of Delhi. Seat: New Delhi. Language: English. The courts at New Delhi shall have jurisdiction for interim relief. The Employee may also avail of remedies under applicable labour law.</w:t>
      </w:r>
    </w:p>
    <w:bookmarkEnd w:id="45"/>
    <w:bookmarkStart w:id="46" w:name="article-13-governing-law"/>
    <w:p>
      <w:pPr>
        <w:pStyle w:val="Heading2"/>
      </w:pPr>
      <w:r>
        <w:t xml:space="preserve">ARTICLE 13 — GOVERNING LAW</w:t>
      </w:r>
    </w:p>
    <w:p>
      <w:pPr>
        <w:pStyle w:val="FirstParagraph"/>
      </w:pPr>
      <w:r>
        <w:t xml:space="preserve">This Agreement is governed by the Indian Contract Act, 1872 and applicable labour laws of India including the Industrial Disputes Act, 1947, and state-specific Shops and Establishments legislation. To the extent of any conflict, mandatory provisions of applicable labour law shall prevail.</w:t>
      </w:r>
    </w:p>
    <w:bookmarkEnd w:id="46"/>
    <w:bookmarkStart w:id="47" w:name="article-14-general"/>
    <w:p>
      <w:pPr>
        <w:pStyle w:val="Heading2"/>
      </w:pPr>
      <w:r>
        <w:t xml:space="preserve">ARTICLE 14 — GENERAL</w:t>
      </w:r>
    </w:p>
    <w:p>
      <w:pPr>
        <w:pStyle w:val="FirstParagraph"/>
      </w:pPr>
      <w:r>
        <w:t xml:space="preserve">Entire agreement. Amendments in writing. Severability. No waiver unless in writing. Notices to the addresses above. The Employer may assign to a successor entity; the Employee may not assign.</w:t>
      </w:r>
    </w:p>
    <w:bookmarkEnd w:id="47"/>
    <w:bookmarkStart w:id="48" w:name="schedule-a-role-and-band"/>
    <w:p>
      <w:pPr>
        <w:pStyle w:val="Heading2"/>
      </w:pPr>
      <w:r>
        <w:t xml:space="preserve">SCHEDULE A — ROLE AND BAND</w:t>
      </w:r>
    </w:p>
    <w:p>
      <w:pPr>
        <w:pStyle w:val="FirstParagraph"/>
      </w:pPr>
      <w:r>
        <w:rPr>
          <w:b/>
          <w:bCs/>
        </w:rPr>
        <w:t xml:space="preserve">Designation:</w:t>
      </w:r>
      <w:r>
        <w:t xml:space="preserve"> </w:t>
      </w:r>
      <w:r>
        <w:t xml:space="preserve">Senior Legal Associate.</w:t>
      </w:r>
      <w:r>
        <w:t xml:space="preserve"> </w:t>
      </w:r>
      <w:r>
        <w:rPr>
          <w:b/>
          <w:bCs/>
        </w:rPr>
        <w:t xml:space="preserve">Practice Area:</w:t>
      </w:r>
      <w:r>
        <w:t xml:space="preserve"> </w:t>
      </w:r>
      <w:r>
        <w:t xml:space="preserve">Corporate Law and M&amp;A.</w:t>
      </w:r>
      <w:r>
        <w:t xml:space="preserve"> </w:t>
      </w:r>
      <w:r>
        <w:rPr>
          <w:b/>
          <w:bCs/>
        </w:rPr>
        <w:t xml:space="preserve">Band:</w:t>
      </w:r>
      <w:r>
        <w:t xml:space="preserve"> </w:t>
      </w:r>
      <w:r>
        <w:t xml:space="preserve">SA-2.</w:t>
      </w:r>
      <w:r>
        <w:t xml:space="preserve"> </w:t>
      </w:r>
      <w:r>
        <w:rPr>
          <w:b/>
          <w:bCs/>
        </w:rPr>
        <w:t xml:space="preserve">Key Result Areas:</w:t>
      </w:r>
      <w:r>
        <w:t xml:space="preserve"> </w:t>
      </w:r>
      <w:r>
        <w:t xml:space="preserve">(1) Transaction execution and documentation; (2) Client relationship and matter management; (3) Team coordination; (4) Business development support; (5) Knowledge sharing.</w:t>
      </w:r>
      <w:r>
        <w:t xml:space="preserve"> </w:t>
      </w:r>
      <w:r>
        <w:rPr>
          <w:b/>
          <w:bCs/>
        </w:rPr>
        <w:t xml:space="preserve">Performance Review:</w:t>
      </w:r>
      <w:r>
        <w:t xml:space="preserve"> </w:t>
      </w:r>
      <w:r>
        <w:t xml:space="preserve">Annual. Key competencies: legal expertise, analytical ability, client focus, teamwork, integrity.</w:t>
      </w:r>
    </w:p>
    <w:bookmarkEnd w:id="48"/>
    <w:bookmarkStart w:id="49" w:name="schedule-b-compensation-breakdown"/>
    <w:p>
      <w:pPr>
        <w:pStyle w:val="Heading2"/>
      </w:pPr>
      <w:r>
        <w:t xml:space="preserve">SCHEDULE B — COMPENSATION BREAKDOWN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Amount (₹ per annum)</w:t>
            </w:r>
          </w:p>
        </w:tc>
        <w:tc>
          <w:tcPr/>
          <w:p>
            <w:pPr>
              <w:pStyle w:val="Compact"/>
            </w:pPr>
            <w:r>
              <w:t xml:space="preserve">Frequency</w:t>
            </w:r>
          </w:p>
        </w:tc>
      </w:tr>
      <w:tr>
        <w:tc>
          <w:tcPr/>
          <w:p>
            <w:pPr>
              <w:pStyle w:val="Compact"/>
            </w:pPr>
            <w:r>
              <w:t xml:space="preserve">Basic Salary</w:t>
            </w:r>
          </w:p>
        </w:tc>
        <w:tc>
          <w:tcPr/>
          <w:p>
            <w:pPr>
              <w:pStyle w:val="Compact"/>
            </w:pPr>
            <w:r>
              <w:t xml:space="preserve">18,50,000</w:t>
            </w:r>
          </w:p>
        </w:tc>
        <w:tc>
          <w:tcPr/>
          <w:p>
            <w:pPr>
              <w:pStyle w:val="Compact"/>
            </w:pPr>
            <w:r>
              <w:t xml:space="preserve">Monthly</w:t>
            </w:r>
          </w:p>
        </w:tc>
      </w:tr>
      <w:tr>
        <w:tc>
          <w:tcPr/>
          <w:p>
            <w:pPr>
              <w:pStyle w:val="Compact"/>
            </w:pPr>
            <w:r>
              <w:t xml:space="preserve">Performance Bonus (max)</w:t>
            </w:r>
          </w:p>
        </w:tc>
        <w:tc>
          <w:tcPr/>
          <w:p>
            <w:pPr>
              <w:pStyle w:val="Compact"/>
            </w:pPr>
            <w:r>
              <w:t xml:space="preserve">3,70,000 (20%)</w:t>
            </w:r>
          </w:p>
        </w:tc>
        <w:tc>
          <w:tcPr/>
          <w:p>
            <w:pPr>
              <w:pStyle w:val="Compact"/>
            </w:pPr>
            <w:r>
              <w:t xml:space="preserve">Annual</w:t>
            </w:r>
          </w:p>
        </w:tc>
      </w:tr>
      <w:tr>
        <w:tc>
          <w:tcPr/>
          <w:p>
            <w:pPr>
              <w:pStyle w:val="Compact"/>
            </w:pPr>
            <w:r>
              <w:t xml:space="preserve">Professional Dev. Allowance</w:t>
            </w:r>
          </w:p>
        </w:tc>
        <w:tc>
          <w:tcPr/>
          <w:p>
            <w:pPr>
              <w:pStyle w:val="Compact"/>
            </w:pPr>
            <w:r>
              <w:t xml:space="preserve">50,000</w:t>
            </w:r>
          </w:p>
        </w:tc>
        <w:tc>
          <w:tcPr/>
          <w:p>
            <w:pPr>
              <w:pStyle w:val="Compact"/>
            </w:pPr>
            <w:r>
              <w:t xml:space="preserve">Annual</w:t>
            </w:r>
          </w:p>
        </w:tc>
      </w:tr>
      <w:tr>
        <w:tc>
          <w:tcPr/>
          <w:p>
            <w:pPr>
              <w:pStyle w:val="Compact"/>
            </w:pPr>
            <w:r>
              <w:t xml:space="preserve">Medical Insurance</w:t>
            </w:r>
          </w:p>
        </w:tc>
        <w:tc>
          <w:tcPr/>
          <w:p>
            <w:pPr>
              <w:pStyle w:val="Compact"/>
            </w:pPr>
            <w:r>
              <w:t xml:space="preserve">As per policy</w:t>
            </w:r>
          </w:p>
        </w:tc>
        <w:tc>
          <w:tcPr/>
          <w:p>
            <w:pPr>
              <w:pStyle w:val="Compact"/>
            </w:pPr>
            <w:r>
              <w:t xml:space="preserve">—</w:t>
            </w:r>
          </w:p>
        </w:tc>
      </w:tr>
      <w:tr>
        <w:tc>
          <w:tcPr/>
          <w:p>
            <w:pPr>
              <w:pStyle w:val="Compact"/>
            </w:pPr>
            <w:r>
              <w:t xml:space="preserve">Leave Travel</w:t>
            </w:r>
          </w:p>
        </w:tc>
        <w:tc>
          <w:tcPr/>
          <w:p>
            <w:pPr>
              <w:pStyle w:val="Compact"/>
            </w:pPr>
            <w:r>
              <w:t xml:space="preserve">As per policy</w:t>
            </w:r>
          </w:p>
        </w:tc>
        <w:tc>
          <w:tcPr/>
          <w:p>
            <w:pPr>
              <w:pStyle w:val="Compact"/>
            </w:pPr>
            <w:r>
              <w:t xml:space="preserve">Annual</w:t>
            </w:r>
          </w:p>
        </w:tc>
      </w:tr>
    </w:tbl>
    <w:bookmarkEnd w:id="49"/>
    <w:bookmarkStart w:id="50" w:name="schedule-c-leave-entitlements"/>
    <w:p>
      <w:pPr>
        <w:pStyle w:val="Heading2"/>
      </w:pPr>
      <w:r>
        <w:t xml:space="preserve">SCHEDULE C — LEAVE ENTITLEMENTS</w:t>
      </w:r>
    </w:p>
    <w:p>
      <w:pPr>
        <w:pStyle w:val="FirstParagraph"/>
      </w:pPr>
      <w:r>
        <w:t xml:space="preserve">Annual Leave: 22 days. Sick Leave: 12 days. Public Holidays: As per Delhi. Compensatory Off: As per policy for extended hours. Carry-forward: Up to 10 days annual leave. Encashment: As per policy on separation.</w:t>
      </w:r>
    </w:p>
    <w:bookmarkEnd w:id="50"/>
    <w:bookmarkStart w:id="51" w:name="schedule-d-conflict-of-interest"/>
    <w:p>
      <w:pPr>
        <w:pStyle w:val="Heading2"/>
      </w:pPr>
      <w:r>
        <w:t xml:space="preserve">SCHEDULE D — CONFLICT OF INTEREST</w:t>
      </w:r>
    </w:p>
    <w:p>
      <w:pPr>
        <w:pStyle w:val="FirstParagraph"/>
      </w:pPr>
      <w:r>
        <w:t xml:space="preserve">The Employee shall disclose to the Firm any actual or potential conflict of interest, including: (a) personal or family interest in a client or matter; (b) prior representation of adverse party; (c) outside business interests; (d) relationship with opposing counsel or party. The Firm shall assess and may require the Employee to be walled off from the matter or decline the engagement.</w:t>
      </w:r>
    </w:p>
    <w:bookmarkEnd w:id="51"/>
    <w:bookmarkStart w:id="52" w:name="schedule-e-professional-conduct"/>
    <w:p>
      <w:pPr>
        <w:pStyle w:val="Heading2"/>
      </w:pPr>
      <w:r>
        <w:t xml:space="preserve">SCHEDULE E — PROFESSIONAL CONDUCT</w:t>
      </w:r>
    </w:p>
    <w:p>
      <w:pPr>
        <w:pStyle w:val="FirstParagraph"/>
      </w:pPr>
      <w:r>
        <w:t xml:space="preserve">The Employee shall comply with: (a) the Advocates Act, 1961 and Bar Council of India rules; (b) the Firm's code of conduct and anti-harassment policy; (c) applicable law including prevention of sexual harassment. Breach may result in disciplinary action including termination.</w:t>
      </w:r>
    </w:p>
    <w:bookmarkEnd w:id="52"/>
    <w:bookmarkStart w:id="53" w:name="schedule-f-termination-payments"/>
    <w:p>
      <w:pPr>
        <w:pStyle w:val="Heading2"/>
      </w:pPr>
      <w:r>
        <w:t xml:space="preserve">SCHEDULE F — TERMINATION PAYMENTS</w:t>
      </w:r>
    </w:p>
    <w:p>
      <w:pPr>
        <w:pStyle w:val="FirstParagraph"/>
      </w:pPr>
      <w:r>
        <w:rPr>
          <w:b/>
          <w:bCs/>
        </w:rPr>
        <w:t xml:space="preserve">On termination for cause:</w:t>
      </w:r>
      <w:r>
        <w:t xml:space="preserve"> </w:t>
      </w:r>
      <w:r>
        <w:t xml:space="preserve">Salary until last working day; no bonus; no notice pay.</w:t>
      </w:r>
      <w:r>
        <w:t xml:space="preserve"> </w:t>
      </w:r>
      <w:r>
        <w:rPr>
          <w:b/>
          <w:bCs/>
        </w:rPr>
        <w:t xml:space="preserve">On termination without cause:</w:t>
      </w:r>
      <w:r>
        <w:t xml:space="preserve"> </w:t>
      </w:r>
      <w:r>
        <w:t xml:space="preserve">Notice pay or pay in lieu (3 months); accrued leave encashment; proportionate bonus if applicable; statutory dues.</w:t>
      </w:r>
      <w:r>
        <w:t xml:space="preserve"> </w:t>
      </w:r>
      <w:r>
        <w:rPr>
          <w:b/>
          <w:bCs/>
        </w:rPr>
        <w:t xml:space="preserve">On resignation:</w:t>
      </w:r>
      <w:r>
        <w:t xml:space="preserve"> </w:t>
      </w:r>
      <w:r>
        <w:t xml:space="preserve">Salary during notice; accrued leave; statutory dues.</w:t>
      </w:r>
      <w:r>
        <w:t xml:space="preserve"> </w:t>
      </w:r>
      <w:r>
        <w:rPr>
          <w:b/>
          <w:bCs/>
        </w:rPr>
        <w:t xml:space="preserve">On Fixed Term expiry:</w:t>
      </w:r>
      <w:r>
        <w:t xml:space="preserve"> </w:t>
      </w:r>
      <w:r>
        <w:t xml:space="preserve">Accrued salary; leave encashment; statutory dues. All payments subject to deduction of dues owed to Firm.</w:t>
      </w:r>
    </w:p>
    <w:bookmarkEnd w:id="53"/>
    <w:bookmarkStart w:id="54" w:name="schedule-g-restrictive-covenant-scope"/>
    <w:p>
      <w:pPr>
        <w:pStyle w:val="Heading2"/>
      </w:pPr>
      <w:r>
        <w:t xml:space="preserve">SCHEDULE G — RESTRICTIVE COVENANT SCOPE</w:t>
      </w:r>
    </w:p>
    <w:p>
      <w:pPr>
        <w:pStyle w:val="FirstParagraph"/>
      </w:pPr>
      <w:r>
        <w:rPr>
          <w:b/>
          <w:bCs/>
        </w:rPr>
        <w:t xml:space="preserve">Geographic scope:</w:t>
      </w:r>
      <w:r>
        <w:t xml:space="preserve"> </w:t>
      </w:r>
      <w:r>
        <w:t xml:space="preserve">India.</w:t>
      </w:r>
      <w:r>
        <w:t xml:space="preserve"> </w:t>
      </w:r>
      <w:r>
        <w:rPr>
          <w:b/>
          <w:bCs/>
        </w:rPr>
        <w:t xml:space="preserve">Restricted activities:</w:t>
      </w:r>
      <w:r>
        <w:t xml:space="preserve"> </w:t>
      </w:r>
      <w:r>
        <w:t xml:space="preserve">Practice of corporate law, M&amp;A, commercial law for a competing law firm or in-house in a competitor.</w:t>
      </w:r>
      <w:r>
        <w:t xml:space="preserve"> </w:t>
      </w:r>
      <w:r>
        <w:rPr>
          <w:b/>
          <w:bCs/>
        </w:rPr>
        <w:t xml:space="preserve">Excluded:</w:t>
      </w:r>
      <w:r>
        <w:t xml:space="preserve"> </w:t>
      </w:r>
      <w:r>
        <w:t xml:space="preserve">In-house employment in a non-law-firm entity; government/judicial employment; academic position; practice in non-competing area (e.g., pure litigation if Employee was in corporate).</w:t>
      </w:r>
      <w:r>
        <w:t xml:space="preserve"> </w:t>
      </w:r>
      <w:r>
        <w:rPr>
          <w:b/>
          <w:bCs/>
        </w:rPr>
        <w:t xml:space="preserve">Client restriction:</w:t>
      </w:r>
      <w:r>
        <w:t xml:space="preserve"> </w:t>
      </w:r>
      <w:r>
        <w:t xml:space="preserve">Clients on whose matters Employee worked in 12 months prior to termination.</w:t>
      </w:r>
      <w:r>
        <w:t xml:space="preserve"> </w:t>
      </w:r>
      <w:r>
        <w:rPr>
          <w:b/>
          <w:bCs/>
        </w:rPr>
        <w:t xml:space="preserve">Duration:</w:t>
      </w:r>
      <w:r>
        <w:t xml:space="preserve"> </w:t>
      </w:r>
      <w:r>
        <w:t xml:space="preserve">12 months post-employment.</w:t>
      </w:r>
    </w:p>
    <w:bookmarkEnd w:id="54"/>
    <w:bookmarkStart w:id="55" w:name="schedule-h-grievance-redressal"/>
    <w:p>
      <w:pPr>
        <w:pStyle w:val="Heading2"/>
      </w:pPr>
      <w:r>
        <w:t xml:space="preserve">SCHEDULE H — GRIEVANCE REDRESSAL</w:t>
      </w:r>
    </w:p>
    <w:p>
      <w:pPr>
        <w:pStyle w:val="FirstParagraph"/>
      </w:pPr>
      <w:r>
        <w:t xml:space="preserve">Step 1: Discuss with reporting Partner. Step 2: Escalate to Practice Head. Step 3: escalate to Managing Partner. Step 4: Written grievance to HR. The Firm shall endeavour to respond within 15 days. For harassment complaints, the Firm's POSH Committee shall handle per the Sexual Harassment of Women at Workplace (Prevention, Prohibition and Redressal) Act, 2013.</w:t>
      </w:r>
    </w:p>
    <w:bookmarkEnd w:id="55"/>
    <w:bookmarkStart w:id="56" w:name="annexure-i-acknowledgment"/>
    <w:p>
      <w:pPr>
        <w:pStyle w:val="Heading2"/>
      </w:pPr>
      <w:r>
        <w:t xml:space="preserve">ANNEXURE I — ACKNOWLEDGMENT</w:t>
      </w:r>
    </w:p>
    <w:p>
      <w:pPr>
        <w:pStyle w:val="FirstParagraph"/>
      </w:pPr>
      <w:r>
        <w:t xml:space="preserve">The Employee acknowledges that: (a) he has read and understood this Agreement; (b) the Restrictive Covenants are reasonable and necessary; (c) he has had opportunity to seek legal advice; (d) his employment is subject to verification of credentials and clearance. The Employee confirms he is not bound by any conflicting agreement.</w:t>
      </w:r>
    </w:p>
    <w:bookmarkEnd w:id="56"/>
    <w:bookmarkStart w:id="57" w:name="annexure-ii-force-majeure"/>
    <w:p>
      <w:pPr>
        <w:pStyle w:val="Heading2"/>
      </w:pPr>
      <w:r>
        <w:t xml:space="preserve">ANNEXURE II — FORCE MAJEURE</w:t>
      </w:r>
    </w:p>
    <w:p>
      <w:pPr>
        <w:pStyle w:val="FirstParagraph"/>
      </w:pPr>
      <w:r>
        <w:t xml:space="preserve">If the Firm's operations are disrupted by force majeure (pandemic, natural disaster, government order), the Firm may: (a) implement work-from-home or alternative arrangements; (b) place the Employee on unpaid leave for a limited period (not exceeding 90 days) with mutual consent; (c) terminate with one (1) month's notice if disruption continues beyond 90 days, with payment of accrued dues and one month's salary as severance.</w:t>
      </w:r>
    </w:p>
    <w:bookmarkEnd w:id="57"/>
    <w:bookmarkStart w:id="58" w:name="annexure-iii-data-protection"/>
    <w:p>
      <w:pPr>
        <w:pStyle w:val="Heading2"/>
      </w:pPr>
      <w:r>
        <w:t xml:space="preserve">ANNEXURE III — DATA PROTECTION</w:t>
      </w:r>
    </w:p>
    <w:p>
      <w:pPr>
        <w:pStyle w:val="FirstParagraph"/>
      </w:pPr>
      <w:r>
        <w:t xml:space="preserve">The Employee shall process client and Firm data in compliance with applicable law. The Employee shall not use personal data for purposes other than work. Upon termination, the Employee shall return or delete all data. Breach of data protection may constitute misconduct.</w:t>
      </w:r>
    </w:p>
    <w:bookmarkEnd w:id="58"/>
    <w:bookmarkStart w:id="59" w:name="annexure-iv-probation-if-applicable"/>
    <w:p>
      <w:pPr>
        <w:pStyle w:val="Heading2"/>
      </w:pPr>
      <w:r>
        <w:t xml:space="preserve">ANNEXURE IV — PROBATION (IF APPLICABLE)</w:t>
      </w:r>
    </w:p>
    <w:p>
      <w:pPr>
        <w:pStyle w:val="FirstParagraph"/>
      </w:pPr>
      <w:r>
        <w:t xml:space="preserve">If the Employee is on probation: Probation period: six (6) months from Effective Date. During probation, either Party may terminate on fifteen (15) days' notice. Performance review at three (3) and six (6) months. Confirmation in writing upon satisfactory performance. If not confirmed, probation may be extended by three (3) months or employment terminated.</w:t>
      </w:r>
    </w:p>
    <w:bookmarkEnd w:id="59"/>
    <w:bookmarkStart w:id="60" w:name="annexure-v-expense-reimbursement"/>
    <w:p>
      <w:pPr>
        <w:pStyle w:val="Heading2"/>
      </w:pPr>
      <w:r>
        <w:t xml:space="preserve">ANNEXURE V — EXPENSE REIMBURSEMENT</w:t>
      </w:r>
    </w:p>
    <w:p>
      <w:pPr>
        <w:pStyle w:val="FirstParagraph"/>
      </w:pPr>
      <w:r>
        <w:t xml:space="preserve">Business expenses shall be reimbursed upon submission of vouchers and approval. Travel: economy class for domestic; business class for international (flights exceeding 6 hours) with prior approval. Lodging: as per Firm policy (typically 4-star for domestic). Meals: per diem or actual with receipt. The Employee shall comply with the Firm's travel and expense policy. Unreimbursed expenses older than sixty (60) days may be disallowed.</w:t>
      </w:r>
    </w:p>
    <w:bookmarkEnd w:id="60"/>
    <w:bookmarkStart w:id="61" w:name="annexure-vi-professional-development"/>
    <w:p>
      <w:pPr>
        <w:pStyle w:val="Heading2"/>
      </w:pPr>
      <w:r>
        <w:t xml:space="preserve">ANNEXURE VI — PROFESSIONAL DEVELOPMENT</w:t>
      </w:r>
    </w:p>
    <w:p>
      <w:pPr>
        <w:pStyle w:val="FirstParagraph"/>
      </w:pPr>
      <w:r>
        <w:t xml:space="preserve">The Firm encourages continuous learning. The Employee may attend seminars, conferences, and courses relevant to practice. The Firm shall reimburse or sponsor: (a) bar association memberships; (b) relevant certifications (e.g., Company Secretary, Valuation); (c) conference registration up to ₹50,000 per annum; (d) book and research subscriptions. Prior approval required for amounts exceeding ₹25,000. The Employee shall share learnings with the team.</w:t>
      </w:r>
    </w:p>
    <w:bookmarkEnd w:id="61"/>
    <w:bookmarkStart w:id="62" w:name="annexure-vii-equal-employment"/>
    <w:p>
      <w:pPr>
        <w:pStyle w:val="Heading2"/>
      </w:pPr>
      <w:r>
        <w:t xml:space="preserve">ANNEXURE VII — EQUAL EMPLOYMENT</w:t>
      </w:r>
    </w:p>
    <w:p>
      <w:pPr>
        <w:pStyle w:val="FirstParagraph"/>
      </w:pPr>
      <w:r>
        <w:t xml:space="preserve">The Firm is an equal opportunity employer. Employment decisions are based on merit, qualifications, and business needs. The Firm does not discriminate on the basis of religion, caste, gender, marital status, or disability (where compatible with role). The Firm maintains a workplace free from harassment. The Employee shall comply with the Firm's diversity and inclusion policies.</w:t>
      </w:r>
    </w:p>
    <w:bookmarkEnd w:id="62"/>
    <w:bookmarkStart w:id="63" w:name="Xaf8fc62f74133fe1a1fd95e17cdbe791f559ef5"/>
    <w:p>
      <w:pPr>
        <w:pStyle w:val="Heading2"/>
      </w:pPr>
      <w:r>
        <w:t xml:space="preserve">ANNEXURE VIII — INTELLECTUAL PROPERTY ASSIGNMENT DETAIL</w:t>
      </w:r>
    </w:p>
    <w:p>
      <w:pPr>
        <w:pStyle w:val="FirstParagraph"/>
      </w:pPr>
      <w:r>
        <w:t xml:space="preserve">Scope of assignment: All work product created within the scope of employment or using Firm resources. This includes: legal opinions, memoranda, research notes, templates, presentations, and any deliverable to clients. Prior inventions: The Employee has listed in Schedule A (if any). The Employee shall sign all documents necessary to perfect the Firm's title. The assignment applies to copyright, designs, and other IP as applicable under Indian law.</w:t>
      </w:r>
    </w:p>
    <w:bookmarkEnd w:id="63"/>
    <w:bookmarkStart w:id="64" w:name="annexure-ix-references-and-verification"/>
    <w:p>
      <w:pPr>
        <w:pStyle w:val="Heading2"/>
      </w:pPr>
      <w:r>
        <w:t xml:space="preserve">ANNEXURE IX — REFERENCES AND VERIFICATION</w:t>
      </w:r>
    </w:p>
    <w:p>
      <w:pPr>
        <w:pStyle w:val="FirstParagraph"/>
      </w:pPr>
      <w:r>
        <w:t xml:space="preserve">The Employee consents to the Firm conducting reference checks and verification of credentials (degree, bar registration, prior employment). The Firm may contact references provided by the Employee. The Employee represents that all information provided is accurate. Discovery of misrepresentation may result in termination and forfeiture of dues.</w:t>
      </w:r>
    </w:p>
    <w:bookmarkEnd w:id="64"/>
    <w:bookmarkStart w:id="65" w:name="Xaa16ad6592e9ed63a9432465b460448c5c37c12"/>
    <w:p>
      <w:pPr>
        <w:pStyle w:val="Heading2"/>
      </w:pPr>
      <w:r>
        <w:t xml:space="preserve">ANNEXURE X — NOTICE PERIOD AND GARDEN LEAVE</w:t>
      </w:r>
    </w:p>
    <w:p>
      <w:pPr>
        <w:pStyle w:val="FirstParagraph"/>
      </w:pPr>
      <w:r>
        <w:rPr>
          <w:b/>
          <w:bCs/>
        </w:rPr>
        <w:t xml:space="preserve">Resignation:</w:t>
      </w:r>
      <w:r>
        <w:t xml:space="preserve"> </w:t>
      </w:r>
      <w:r>
        <w:t xml:space="preserve">Three (3) months' written notice. The Firm may waive or shorten. During notice, the Employee shall complete handover, transition matters, and return all property.</w:t>
      </w:r>
      <w:r>
        <w:t xml:space="preserve"> </w:t>
      </w:r>
      <w:r>
        <w:rPr>
          <w:b/>
          <w:bCs/>
        </w:rPr>
        <w:t xml:space="preserve">Garden Leave:</w:t>
      </w:r>
      <w:r>
        <w:t xml:space="preserve"> </w:t>
      </w:r>
      <w:r>
        <w:t xml:space="preserve">The Firm may require the Employee to remain away from office during notice while continuing to receive salary. During Garden Leave, the Employee shall not contact clients or employees regarding business; shall remain available for clarifications. Non-compete period runs during Garden Leave.</w:t>
      </w:r>
      <w:r>
        <w:t xml:space="preserve"> </w:t>
      </w:r>
      <w:r>
        <w:rPr>
          <w:b/>
          <w:bCs/>
        </w:rPr>
        <w:t xml:space="preserve">Pay in lieu:</w:t>
      </w:r>
      <w:r>
        <w:t xml:space="preserve"> </w:t>
      </w:r>
      <w:r>
        <w:t xml:space="preserve">The Firm may accept payment in lieu of notice from the Employee (three months' salary) to waive the notice period; at the Firm's discretion.</w:t>
      </w:r>
    </w:p>
    <w:bookmarkEnd w:id="65"/>
    <w:bookmarkStart w:id="66" w:name="schedule-i-code-of-conduct"/>
    <w:p>
      <w:pPr>
        <w:pStyle w:val="Heading2"/>
      </w:pPr>
      <w:r>
        <w:t xml:space="preserve">SCHEDULE I — CODE OF CONDUCT</w:t>
      </w:r>
    </w:p>
    <w:p>
      <w:pPr>
        <w:pStyle w:val="FirstParagraph"/>
      </w:pPr>
      <w:r>
        <w:t xml:space="preserve">The Employee shall: (a) act with integrity and professionalism; (b) avoid conflicts of interest; (c) maintain client confidences; (d) not engage in conduct that brings the Firm into disrepute; (e) comply with the Advocates Act and Bar Council rules; (f) not make statements to the media about the Firm or clients without approval; (g) report any potential breach of law or ethics. The Firm has a code of conduct and anti-harassment policy. Breach may result in disciplinary action including termination.</w:t>
      </w:r>
    </w:p>
    <w:bookmarkEnd w:id="66"/>
    <w:bookmarkStart w:id="67" w:name="schedule-j-performance-management"/>
    <w:p>
      <w:pPr>
        <w:pStyle w:val="Heading2"/>
      </w:pPr>
      <w:r>
        <w:t xml:space="preserve">SCHEDULE J — PERFORMANCE MANAGEMENT</w:t>
      </w:r>
    </w:p>
    <w:p>
      <w:pPr>
        <w:pStyle w:val="FirstParagraph"/>
      </w:pPr>
      <w:r>
        <w:t xml:space="preserve">Annual performance review based on: (a) quality of work; (b) client feedback; (c) billable hours or matter contribution; (d) teamwork; (e) business development; (f) adherence to Firm values. The review shall be documented. Performance improvement plans may be used for underperformance. Consistent underperformance may result in termination. The Employee may provide input and may appeal through the grievance process.</w:t>
      </w:r>
    </w:p>
    <w:bookmarkEnd w:id="67"/>
    <w:bookmarkStart w:id="68" w:name="schedule-k-remuneration-revision"/>
    <w:p>
      <w:pPr>
        <w:pStyle w:val="Heading2"/>
      </w:pPr>
      <w:r>
        <w:t xml:space="preserve">SCHEDULE K — REMUNERATION REVISION</w:t>
      </w:r>
    </w:p>
    <w:p>
      <w:pPr>
        <w:pStyle w:val="FirstParagraph"/>
      </w:pPr>
      <w:r>
        <w:t xml:space="preserve">Salary is reviewed annually, typically in April. Revision is discretionary and depends on: Firm performance; practice performance; individual contribution; market conditions. There is no guarantee of increase. The Employee shall be informed of any revision in writing. Variable pay (bonus) is entirely discretionary. The Firm may introduce or modify benefit programs with reasonable notice.</w:t>
      </w:r>
    </w:p>
    <w:bookmarkEnd w:id="68"/>
    <w:bookmarkStart w:id="69" w:name="X036814b9a0a1f0fe2feeb6f15b1e945aa8c9396"/>
    <w:p>
      <w:pPr>
        <w:pStyle w:val="Heading2"/>
      </w:pPr>
      <w:r>
        <w:t xml:space="preserve">SCHEDULE L — INTELLECTUAL PROPERTY NOTIFICATION</w:t>
      </w:r>
    </w:p>
    <w:p>
      <w:pPr>
        <w:pStyle w:val="FirstParagraph"/>
      </w:pPr>
      <w:r>
        <w:t xml:space="preserve">The Employee is hereby notified that pursuant to Article 7 and Schedule D, all work product created in the course of employment belongs to the Firm. This includes: legal opinions, memoranda, research, templates, presentations, and any other deliverable. The Employee assigns all rights. The Employee shall not use such work product for personal benefit or for any other employer. The Employee shall sign all documents necessary to perfect the Firm's title. Prior inventions must be listed in the IP disclosure form at commencement.</w:t>
      </w:r>
    </w:p>
    <w:bookmarkEnd w:id="69"/>
    <w:bookmarkStart w:id="70" w:name="annexure-xi-bar-registration"/>
    <w:p>
      <w:pPr>
        <w:pStyle w:val="Heading2"/>
      </w:pPr>
      <w:r>
        <w:t xml:space="preserve">ANNEXURE XI — BAR REGISTRATION</w:t>
      </w:r>
    </w:p>
    <w:p>
      <w:pPr>
        <w:pStyle w:val="FirstParagraph"/>
      </w:pPr>
      <w:r>
        <w:t xml:space="preserve">The Employee warrants that he is enrolled as an advocate with the Bar Council and is entitled to practice. The Employee shall maintain valid enrollment and comply with continuing professional development requirements. The Employee shall notify the Firm of any disciplinary proceeding or change in enrollment status. The Firm may verify enrollment from time to time.</w:t>
      </w:r>
    </w:p>
    <w:bookmarkEnd w:id="70"/>
    <w:bookmarkStart w:id="71" w:name="Xe0dcffc30e2d441a6b6b35fe081776f5fb748a4"/>
    <w:p>
      <w:pPr>
        <w:pStyle w:val="Heading2"/>
      </w:pPr>
      <w:r>
        <w:t xml:space="preserve">ANNEXURE XII — CONFIDENTIALITY IN EMPLOYMENT</w:t>
      </w:r>
    </w:p>
    <w:p>
      <w:pPr>
        <w:pStyle w:val="FirstParagraph"/>
      </w:pPr>
      <w:r>
        <w:t xml:space="preserve">Client information, matter strategies, and internal Firm information are confidential. The Employee shall not disclose to anyone outside the Firm except as necessary for work (e.g., opposing counsel in a matter, with appropriate safeguards). The Employee shall not discuss matters at social events or on social media. Upon termination, the Employee shall not use or disclose Confidential Information. Breach may result in injunction, damages, and termination for cause.</w:t>
      </w:r>
    </w:p>
    <w:bookmarkEnd w:id="71"/>
    <w:bookmarkStart w:id="72" w:name="X824f9ecadd0ca462ff82f249412b04727870829"/>
    <w:p>
      <w:pPr>
        <w:pStyle w:val="Heading2"/>
      </w:pPr>
      <w:r>
        <w:t xml:space="preserve">ANNEXURE XIII — RESTRICTIVE COVENANT ENFORCEABILITY</w:t>
      </w:r>
    </w:p>
    <w:p>
      <w:pPr>
        <w:pStyle w:val="FirstParagraph"/>
      </w:pPr>
      <w:r>
        <w:t xml:space="preserve">The Parties acknowledge that restrictive covenants in employment agreements are subject to Section 27 of the Indian Contract Act, 1872, which renders agreements in restraint of trade void to that extent. The Parties intend that the covenants herein be enforced to the maximum extent permitted by law. The covenants are limited in duration (12 months), geography (India), and scope (competing law firms and clients worked on). The Parties believe these are reasonable to protect the Firm's legitimate interests in its client relationships, confidential information, and workforce. If any court holds a covenant unenforceable, it shall be read down to the maximum enforceable extent.</w:t>
      </w:r>
    </w:p>
    <w:bookmarkEnd w:id="72"/>
    <w:bookmarkStart w:id="73" w:name="annexure-xiv-governing-law"/>
    <w:p>
      <w:pPr>
        <w:pStyle w:val="Heading2"/>
      </w:pPr>
      <w:r>
        <w:t xml:space="preserve">ANNEXURE XIV — GOVERNING LAW</w:t>
      </w:r>
    </w:p>
    <w:p>
      <w:pPr>
        <w:pStyle w:val="FirstParagraph"/>
      </w:pPr>
      <w:r>
        <w:t xml:space="preserve">This Agreement is governed by the Indian Contract Act, 1872 and the laws of India. Labour law (Industrial Disputes Act, 1947; Shops and Establishments Act; state labour codes) may also apply. To the extent of conflict, mandatory provisions of labour law shall prevail. The courts at New Delhi shall have jurisdiction. The Parties agree to arbitration for commercial disputes; the Employee may also avail of remedies under labour law (e.g., industrial dispute, labour court).</w:t>
      </w:r>
    </w:p>
    <w:bookmarkEnd w:id="73"/>
    <w:bookmarkStart w:id="74" w:name="annexure-xv-amendments"/>
    <w:p>
      <w:pPr>
        <w:pStyle w:val="Heading2"/>
      </w:pPr>
      <w:r>
        <w:t xml:space="preserve">ANNEXURE XV — AMENDMENTS</w:t>
      </w:r>
    </w:p>
    <w:p>
      <w:pPr>
        <w:pStyle w:val="FirstParagraph"/>
      </w:pPr>
      <w:r>
        <w:t xml:space="preserve">This Agreement may be amended only in writing signed by both Parties. The Firm may amend policies (leave, benefits, expense) with reasonable notice; such amendments shall not reduce the Employee's core contractual rights (salary, notice period, restrictive covenants) without consent. Material changes to terms of employment require the Employee's written consent.</w:t>
      </w:r>
    </w:p>
    <w:bookmarkEnd w:id="74"/>
    <w:bookmarkStart w:id="81" w:name="X92c585b84a78ba8f74d790198b5479490e663b8"/>
    <w:p>
      <w:pPr>
        <w:pStyle w:val="Heading2"/>
      </w:pPr>
      <w:r>
        <w:t xml:space="preserve">SUPPLEMENTAL PROVISIONS — LABOUR LAW AND CONTRACT ACT</w:t>
      </w:r>
    </w:p>
    <w:bookmarkStart w:id="75" w:name="sp.1-industrial-disputes-act"/>
    <w:p>
      <w:pPr>
        <w:pStyle w:val="Heading3"/>
      </w:pPr>
      <w:r>
        <w:t xml:space="preserve">SP.1 Industrial Disputes Act</w:t>
      </w:r>
    </w:p>
    <w:p>
      <w:pPr>
        <w:pStyle w:val="FirstParagraph"/>
      </w:pPr>
      <w:r>
        <w:t xml:space="preserve">To the extent applicable, the provisions of the Industrial Disputes Act, 1947 shall apply. For termination of workmen (if the Employee is classified as such), the provisions regarding notice, retrenchment compensation, and dispute resolution shall apply. The Employee may avail of remedies under the Act including raising an industrial dispute. This Agreement does not waive any statutory rights.</w:t>
      </w:r>
    </w:p>
    <w:bookmarkEnd w:id="75"/>
    <w:bookmarkStart w:id="76" w:name="sp.2-shops-and-establishments-act"/>
    <w:p>
      <w:pPr>
        <w:pStyle w:val="Heading3"/>
      </w:pPr>
      <w:r>
        <w:t xml:space="preserve">SP.2 Shops and Establishments Act</w:t>
      </w:r>
    </w:p>
    <w:p>
      <w:pPr>
        <w:pStyle w:val="FirstParagraph"/>
      </w:pPr>
      <w:r>
        <w:t xml:space="preserve">The employment is subject to the applicable Shops and Establishments Act (Delhi or as applicable). The Firm shall comply with provisions regarding hours of work, leave, holidays, and conditions of employment. Any conflict between this Agreement and mandatory provisions of the Act shall be resolved in favour of the Act.</w:t>
      </w:r>
    </w:p>
    <w:bookmarkEnd w:id="76"/>
    <w:bookmarkStart w:id="77" w:name="sp.3-payment-of-wages"/>
    <w:p>
      <w:pPr>
        <w:pStyle w:val="Heading3"/>
      </w:pPr>
      <w:r>
        <w:t xml:space="preserve">SP.3 Payment of Wages</w:t>
      </w:r>
    </w:p>
    <w:p>
      <w:pPr>
        <w:pStyle w:val="FirstParagraph"/>
      </w:pPr>
      <w:r>
        <w:t xml:space="preserve">Salary shall be paid by the 7th of the following month. Deductions shall be as permitted by the Payment of Wages Act, 1936 and applicable law. The Employee shall receive a payslip. Unpaid salary shall bear interest at the rate prescribed under the Act or 18% per annum, whichever is lower.</w:t>
      </w:r>
    </w:p>
    <w:bookmarkEnd w:id="77"/>
    <w:bookmarkStart w:id="78" w:name="sp.4-gratuity-and-statutory-benefits"/>
    <w:p>
      <w:pPr>
        <w:pStyle w:val="Heading3"/>
      </w:pPr>
      <w:r>
        <w:t xml:space="preserve">SP.4 Gratuity and Statutory Benefits</w:t>
      </w:r>
    </w:p>
    <w:p>
      <w:pPr>
        <w:pStyle w:val="FirstParagraph"/>
      </w:pPr>
      <w:r>
        <w:t xml:space="preserve">To the extent the Employee is covered by the Payment of Gratuity Act, 1972, gratuity shall be payable on separation as per the Act. The Employee shall be entitled to statutory benefits (PF, ESI if applicable, bonus under Payment of Bonus Act if applicable) as per law. The Firm shall comply with all statutory obligations.</w:t>
      </w:r>
    </w:p>
    <w:bookmarkEnd w:id="78"/>
    <w:bookmarkStart w:id="79" w:name="sp.5-prevention-of-sexual-harassment"/>
    <w:p>
      <w:pPr>
        <w:pStyle w:val="Heading3"/>
      </w:pPr>
      <w:r>
        <w:t xml:space="preserve">SP.5 Prevention of Sexual Harassment</w:t>
      </w:r>
    </w:p>
    <w:p>
      <w:pPr>
        <w:pStyle w:val="FirstParagraph"/>
      </w:pPr>
      <w:r>
        <w:t xml:space="preserve">The Firm has constituted an Internal Complaints Committee under the Sexual Harassment of Women at Workplace (Prevention, Prohibition and Redressal) Act, 2013. The Employee shall comply with the policy and report any incident. The Firm shall provide a safe workplace. Retaliation against complainants is prohibited.</w:t>
      </w:r>
    </w:p>
    <w:bookmarkEnd w:id="79"/>
    <w:bookmarkStart w:id="80" w:name="sp.6-indian-contract-act"/>
    <w:p>
      <w:pPr>
        <w:pStyle w:val="Heading3"/>
      </w:pPr>
      <w:r>
        <w:t xml:space="preserve">SP.6 Indian Contract Act</w:t>
      </w:r>
    </w:p>
    <w:p>
      <w:pPr>
        <w:pStyle w:val="FirstParagraph"/>
      </w:pPr>
      <w:r>
        <w:t xml:space="preserve">This Agreement is governed by the Indian Contract Act, 1872. The consideration for the Employee's obligations (including restrictive covenants) is the employment, salary, benefits, and access to confidential information. The Parties intend that the Agreement be valid and enforceable. If any provision is held invalid, it shall be read down to the maximum extent permitted.</w:t>
      </w:r>
    </w:p>
    <w:bookmarkEnd w:id="80"/>
    <w:bookmarkEnd w:id="81"/>
    <w:bookmarkStart w:id="82" w:name="in-witness-whereof"/>
    <w:p>
      <w:pPr>
        <w:pStyle w:val="Heading2"/>
      </w:pPr>
      <w:r>
        <w:t xml:space="preserve">IN WITNESS WHEREOF</w:t>
      </w:r>
    </w:p>
    <w:p>
      <w:pPr>
        <w:pStyle w:val="FirstParagraph"/>
      </w:pPr>
      <w:r>
        <w:t xml:space="preserve">The Parties have executed this Agreement as of the date first written above.</w:t>
      </w:r>
    </w:p>
    <w:p>
      <w:pPr>
        <w:pStyle w:val="BodyText"/>
      </w:pPr>
      <w:r>
        <w:rPr>
          <w:b/>
          <w:bCs/>
        </w:rPr>
        <w:t xml:space="preserve">For Khaitan Legal Associates LLP</w:t>
      </w:r>
      <w:r>
        <w:br/>
      </w:r>
      <w:r>
        <w:t xml:space="preserve">________________________</w:t>
      </w:r>
      <w:r>
        <w:br/>
      </w:r>
      <w:r>
        <w:t xml:space="preserve">Name: [Partner Name]</w:t>
      </w:r>
      <w:r>
        <w:br/>
      </w:r>
      <w:r>
        <w:t xml:space="preserve">Title: Partner</w:t>
      </w:r>
    </w:p>
    <w:p>
      <w:pPr>
        <w:pStyle w:val="BodyText"/>
      </w:pPr>
      <w:r>
        <w:rPr>
          <w:b/>
          <w:bCs/>
        </w:rPr>
        <w:t xml:space="preserve">Employee</w:t>
      </w:r>
      <w:r>
        <w:br/>
      </w:r>
      <w:r>
        <w:t xml:space="preserve">________________________</w:t>
      </w:r>
      <w:r>
        <w:br/>
      </w:r>
      <w:r>
        <w:t xml:space="preserve">Name: Arjun Kapoor</w:t>
      </w:r>
    </w:p>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Agreement – Senior Legal Associate</dc:title>
  <dc:creator/>
  <dc:language>en</dc:language>
  <cp:keywords/>
  <dcterms:created xsi:type="dcterms:W3CDTF">2026-03-06T17:04:04Z</dcterms:created>
  <dcterms:modified xsi:type="dcterms:W3CDTF">2026-03-06T17:04:04Z</dcterms:modified>
</cp:coreProperties>
</file>

<file path=docProps/custom.xml><?xml version="1.0" encoding="utf-8"?>
<Properties xmlns="http://schemas.openxmlformats.org/officeDocument/2006/custom-properties" xmlns:vt="http://schemas.openxmlformats.org/officeDocument/2006/docPropsVTypes"/>
</file>