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Vendor Supply Agreement – Raw Materials</w:t>
      </w:r>
    </w:p>
    <w:bookmarkStart w:id="70" w:name="vendor-supply-agreement"/>
    <w:p>
      <w:pPr>
        <w:pStyle w:val="Heading1"/>
      </w:pPr>
      <w:r>
        <w:t xml:space="preserve">VENDOR SUPPLY AGREEMENT</w:t>
      </w:r>
    </w:p>
    <w:bookmarkStart w:id="9" w:name="raw-materials-for-manufacturing"/>
    <w:p>
      <w:pPr>
        <w:pStyle w:val="Heading2"/>
      </w:pPr>
      <w:r>
        <w:t xml:space="preserve">RAW MATERIALS FOR MANUFACTURING</w:t>
      </w:r>
    </w:p>
    <w:p>
      <w:pPr>
        <w:pStyle w:val="FirstParagraph"/>
      </w:pPr>
      <w:r>
        <w:rPr>
          <w:b/>
          <w:bCs/>
        </w:rPr>
        <w:t xml:space="preserve">Agreement No:</w:t>
      </w:r>
      <w:r>
        <w:t xml:space="preserve"> </w:t>
      </w:r>
      <w:r>
        <w:t xml:space="preserve">VSA/2025/0789</w:t>
      </w:r>
      <w:r>
        <w:br/>
      </w:r>
      <w:r>
        <w:rPr>
          <w:b/>
          <w:bCs/>
        </w:rPr>
        <w:t xml:space="preserve">Effective Date:</w:t>
      </w:r>
      <w:r>
        <w:t xml:space="preserve"> </w:t>
      </w:r>
      <w:r>
        <w:t xml:space="preserve">15 April 2025</w:t>
      </w:r>
      <w:r>
        <w:br/>
      </w:r>
      <w:r>
        <w:rPr>
          <w:b/>
          <w:bCs/>
        </w:rPr>
        <w:t xml:space="preserve">Governing Law:</w:t>
      </w:r>
      <w:r>
        <w:t xml:space="preserve"> </w:t>
      </w:r>
      <w:r>
        <w:t xml:space="preserve">Indian Contract Act, 1872; Sale of Goods Act, 1930; Arbitration and Conciliation Act, 1996</w:t>
      </w:r>
    </w:p>
    <w:bookmarkEnd w:id="9"/>
    <w:bookmarkStart w:id="10" w:name="parties"/>
    <w:p>
      <w:pPr>
        <w:pStyle w:val="Heading2"/>
      </w:pPr>
      <w:r>
        <w:t xml:space="preserve">PARTIES</w:t>
      </w:r>
    </w:p>
    <w:p>
      <w:pPr>
        <w:pStyle w:val="FirstParagraph"/>
      </w:pPr>
      <w:r>
        <w:rPr>
          <w:b/>
          <w:bCs/>
        </w:rPr>
        <w:t xml:space="preserve">BUYER:</w:t>
      </w:r>
      <w:r>
        <w:t xml:space="preserve"> </w:t>
      </w:r>
      <w:r>
        <w:t xml:space="preserve">Precision Components India Private Limited, CIN U28999TN2010PTC078234, having its registered office at Plot 45, SIPCOT Industrial Park, Sriperumbudur, Tamil Nadu 602105 ("Buyer").</w:t>
      </w:r>
    </w:p>
    <w:p>
      <w:pPr>
        <w:pStyle w:val="BodyText"/>
      </w:pPr>
      <w:r>
        <w:rPr>
          <w:b/>
          <w:bCs/>
        </w:rPr>
        <w:t xml:space="preserve">SUPPLIER:</w:t>
      </w:r>
      <w:r>
        <w:t xml:space="preserve"> </w:t>
      </w:r>
      <w:r>
        <w:t xml:space="preserve">Metallurgical Alloys &amp; Steel Traders Private Limited, CIN U51909MH2005PTC155432, having its registered office at 12, MIDC Industrial Area, Thane, Maharashtra 400601 ("Supplier").</w:t>
      </w:r>
    </w:p>
    <w:p>
      <w:pPr>
        <w:pStyle w:val="BodyText"/>
      </w:pPr>
      <w:r>
        <w:t xml:space="preserve">Buyer and Supplier are each a "Party" and collectively the "Parties".</w:t>
      </w:r>
    </w:p>
    <w:bookmarkEnd w:id="10"/>
    <w:bookmarkStart w:id="11" w:name="recitals"/>
    <w:p>
      <w:pPr>
        <w:pStyle w:val="Heading2"/>
      </w:pPr>
      <w:r>
        <w:t xml:space="preserve">RECITALS</w:t>
      </w:r>
    </w:p>
    <w:p>
      <w:pPr>
        <w:pStyle w:val="FirstParagraph"/>
      </w:pPr>
      <w:r>
        <w:t xml:space="preserve">WHEREAS the Buyer is engaged in the manufacture of precision automotive and engineering components and requires a steady supply of raw materials including steel alloys, aluminium, and related metals;</w:t>
      </w:r>
    </w:p>
    <w:p>
      <w:pPr>
        <w:pStyle w:val="BodyText"/>
      </w:pPr>
      <w:r>
        <w:t xml:space="preserve">WHEREAS the Supplier is engaged in the sourcing, trading, and supply of such raw materials and has the capability to meet the Buyer's requirements;</w:t>
      </w:r>
    </w:p>
    <w:p>
      <w:pPr>
        <w:pStyle w:val="BodyText"/>
      </w:pPr>
      <w:r>
        <w:t xml:space="preserve">NOW, THEREFORE, the Parties agree as follows:</w:t>
      </w:r>
    </w:p>
    <w:bookmarkEnd w:id="11"/>
    <w:bookmarkStart w:id="14" w:name="article-1-definitions-and-interpretation"/>
    <w:p>
      <w:pPr>
        <w:pStyle w:val="Heading2"/>
      </w:pPr>
      <w:r>
        <w:t xml:space="preserve">ARTICLE 1 — DEFINITIONS AND INTERPRETATION</w:t>
      </w:r>
    </w:p>
    <w:bookmarkStart w:id="12" w:name="definitions"/>
    <w:p>
      <w:pPr>
        <w:pStyle w:val="Heading3"/>
      </w:pPr>
      <w:r>
        <w:t xml:space="preserve">1.1 Definitions</w:t>
      </w:r>
    </w:p>
    <w:p>
      <w:pPr>
        <w:pStyle w:val="FirstParagraph"/>
      </w:pPr>
      <w:r>
        <w:rPr>
          <w:b/>
          <w:bCs/>
        </w:rPr>
        <w:t xml:space="preserve">"Acceptance"</w:t>
      </w:r>
      <w:r>
        <w:t xml:space="preserve"> </w:t>
      </w:r>
      <w:r>
        <w:t xml:space="preserve">means the Buyer's acceptance of Goods, whether express (written approval) or implied (use beyond five (5) days without rejection).</w:t>
      </w:r>
      <w:r>
        <w:t xml:space="preserve"> </w:t>
      </w:r>
      <w:r>
        <w:rPr>
          <w:b/>
          <w:bCs/>
        </w:rPr>
        <w:t xml:space="preserve">"Delivery"</w:t>
      </w:r>
      <w:r>
        <w:t xml:space="preserve"> </w:t>
      </w:r>
      <w:r>
        <w:t xml:space="preserve">means physical delivery of Goods at the Delivery Location with delivery challan and MTC.</w:t>
      </w:r>
      <w:r>
        <w:t xml:space="preserve"> </w:t>
      </w:r>
      <w:r>
        <w:rPr>
          <w:b/>
          <w:bCs/>
        </w:rPr>
        <w:t xml:space="preserve">"Delivery Location"</w:t>
      </w:r>
      <w:r>
        <w:t xml:space="preserve"> </w:t>
      </w:r>
      <w:r>
        <w:t xml:space="preserve">means the Buyer's facility at the address in Schedule A.</w:t>
      </w:r>
      <w:r>
        <w:t xml:space="preserve"> </w:t>
      </w:r>
      <w:r>
        <w:rPr>
          <w:b/>
          <w:bCs/>
        </w:rPr>
        <w:t xml:space="preserve">"Effective Date"</w:t>
      </w:r>
      <w:r>
        <w:t xml:space="preserve"> </w:t>
      </w:r>
      <w:r>
        <w:t xml:space="preserve">means 15 April 2025.</w:t>
      </w:r>
      <w:r>
        <w:t xml:space="preserve"> </w:t>
      </w:r>
      <w:r>
        <w:rPr>
          <w:b/>
          <w:bCs/>
        </w:rPr>
        <w:t xml:space="preserve">"Goods"</w:t>
      </w:r>
      <w:r>
        <w:t xml:space="preserve"> </w:t>
      </w:r>
      <w:r>
        <w:t xml:space="preserve">means the raw materials described in Schedule B, conforming to Specifications.</w:t>
      </w:r>
      <w:r>
        <w:t xml:space="preserve"> </w:t>
      </w:r>
      <w:r>
        <w:rPr>
          <w:b/>
          <w:bCs/>
        </w:rPr>
        <w:t xml:space="preserve">"MTC"</w:t>
      </w:r>
      <w:r>
        <w:t xml:space="preserve"> </w:t>
      </w:r>
      <w:r>
        <w:t xml:space="preserve">means Mill Test Certificate or equivalent quality certificate.</w:t>
      </w:r>
      <w:r>
        <w:t xml:space="preserve"> </w:t>
      </w:r>
      <w:r>
        <w:rPr>
          <w:b/>
          <w:bCs/>
        </w:rPr>
        <w:t xml:space="preserve">"Order"</w:t>
      </w:r>
      <w:r>
        <w:t xml:space="preserve"> </w:t>
      </w:r>
      <w:r>
        <w:t xml:space="preserve">means a purchase order issued by the Buyer in writing.</w:t>
      </w:r>
      <w:r>
        <w:t xml:space="preserve"> </w:t>
      </w:r>
      <w:r>
        <w:rPr>
          <w:b/>
          <w:bCs/>
        </w:rPr>
        <w:t xml:space="preserve">"Price"</w:t>
      </w:r>
      <w:r>
        <w:t xml:space="preserve"> </w:t>
      </w:r>
      <w:r>
        <w:t xml:space="preserve">has the meaning in Article 4.</w:t>
      </w:r>
      <w:r>
        <w:t xml:space="preserve"> </w:t>
      </w:r>
      <w:r>
        <w:rPr>
          <w:b/>
          <w:bCs/>
        </w:rPr>
        <w:t xml:space="preserve">"Specifications"</w:t>
      </w:r>
      <w:r>
        <w:t xml:space="preserve"> </w:t>
      </w:r>
      <w:r>
        <w:t xml:space="preserve">means the technical and quality specifications in Schedule B and applicable standards (IS, ASTM).</w:t>
      </w:r>
      <w:r>
        <w:t xml:space="preserve"> </w:t>
      </w:r>
      <w:r>
        <w:rPr>
          <w:b/>
          <w:bCs/>
        </w:rPr>
        <w:t xml:space="preserve">"Term"</w:t>
      </w:r>
      <w:r>
        <w:t xml:space="preserve"> </w:t>
      </w:r>
      <w:r>
        <w:t xml:space="preserve">means thirty-six (36) months from the Effective Date.</w:t>
      </w:r>
    </w:p>
    <w:bookmarkEnd w:id="12"/>
    <w:bookmarkStart w:id="13" w:name="interpretation"/>
    <w:p>
      <w:pPr>
        <w:pStyle w:val="Heading3"/>
      </w:pPr>
      <w:r>
        <w:t xml:space="preserve">1.2 Interpretation</w:t>
      </w:r>
    </w:p>
    <w:p>
      <w:pPr>
        <w:pStyle w:val="FirstParagraph"/>
      </w:pPr>
      <w:r>
        <w:t xml:space="preserve">In this Agreement, unless the context otherwise requires: (a) headings are for convenience only; (b) singular includes plural; (c) "include" and "including" are without limitation; (d) "days" means calendar days unless "business days" specified (business days exclude Saturday, Sunday, and public holidays in Tamil Nadu and Maharashtra); (e) "writing" includes email where acknowledged; (f) "material" and "materially" connote significance in the context; (g) references to statutes include amendments and re-enactments; (h) in case of conflict between an Order and this Agreement, this Agreement shall prevail unless the Parties expressly agree otherwise in writing.</w:t>
      </w:r>
    </w:p>
    <w:bookmarkEnd w:id="13"/>
    <w:bookmarkEnd w:id="14"/>
    <w:bookmarkStart w:id="19" w:name="article-2-supply-orders-and-assumptions"/>
    <w:p>
      <w:pPr>
        <w:pStyle w:val="Heading2"/>
      </w:pPr>
      <w:r>
        <w:t xml:space="preserve">ARTICLE 2 — SUPPLY, ORDERS AND ASSUMPTIONS</w:t>
      </w:r>
    </w:p>
    <w:bookmarkStart w:id="15" w:name="assumptions-and-dependencies"/>
    <w:p>
      <w:pPr>
        <w:pStyle w:val="Heading3"/>
      </w:pPr>
      <w:r>
        <w:t xml:space="preserve">2.0 Assumptions and Dependencies</w:t>
      </w:r>
    </w:p>
    <w:p>
      <w:pPr>
        <w:pStyle w:val="FirstParagraph"/>
      </w:pPr>
      <w:r>
        <w:t xml:space="preserve">The Supplier's ability to supply is contingent upon: (a) the Buyer placing Orders with reasonable lead times as specified in Article 2.2; (b) the Buyer providing accurate delivery addresses and receiving instructions; (c) availability of raw materials from the Supplier's sources (subject to force majeure); (d) the Buyer's creditworthiness and timely payment of undisputed amounts; (e) no material change in applicable law (including customs, quality standards, or environmental regulations) that prevents supply. The Supplier shall notify the Buyer promptly if any assumption is materially untrue or ceases to be true. The Buyer's compliance with delivery dates is conditional upon the Supplier receiving the Order within the lead time and the Buyer's facility being available to receive delivery during receiving hours. If the Buyer fails to take delivery when the Supplier tenders delivery in accordance with the Order, risk and storage costs may pass to the Buyer after seven (7) days' notice.</w:t>
      </w:r>
    </w:p>
    <w:bookmarkEnd w:id="15"/>
    <w:bookmarkStart w:id="16" w:name="framework-agreement"/>
    <w:p>
      <w:pPr>
        <w:pStyle w:val="Heading3"/>
      </w:pPr>
      <w:r>
        <w:t xml:space="preserve">2.1 Framework Agreement</w:t>
      </w:r>
    </w:p>
    <w:p>
      <w:pPr>
        <w:pStyle w:val="FirstParagraph"/>
      </w:pPr>
      <w:r>
        <w:t xml:space="preserve">This Agreement sets forth the terms for supply of Goods. The Buyer shall issue Orders from time to time. Each Order shall specify quantity, specifications, delivery date, and shall be subject to this Agreement. Conflicting terms on the Buyer's Order or Supplier's acknowledgment are rejected unless expressly agreed in writing.</w:t>
      </w:r>
    </w:p>
    <w:bookmarkEnd w:id="16"/>
    <w:bookmarkStart w:id="17" w:name="forecast"/>
    <w:p>
      <w:pPr>
        <w:pStyle w:val="Heading3"/>
      </w:pPr>
      <w:r>
        <w:t xml:space="preserve">2.2 Forecast</w:t>
      </w:r>
    </w:p>
    <w:p>
      <w:pPr>
        <w:pStyle w:val="FirstParagraph"/>
      </w:pPr>
      <w:r>
        <w:t xml:space="preserve">The Buyer shall provide a rolling twelve (12) month forecast of requirements. Forecasts are non-binding but shall be used by the Supplier for planning. The Buyer shall endeavour to place Orders at least fifteen (15) days prior to required delivery for standard items.</w:t>
      </w:r>
    </w:p>
    <w:bookmarkEnd w:id="17"/>
    <w:bookmarkStart w:id="18" w:name="minimum-order"/>
    <w:p>
      <w:pPr>
        <w:pStyle w:val="Heading3"/>
      </w:pPr>
      <w:r>
        <w:t xml:space="preserve">2.3 Minimum Order</w:t>
      </w:r>
    </w:p>
    <w:p>
      <w:pPr>
        <w:pStyle w:val="FirstParagraph"/>
      </w:pPr>
      <w:r>
        <w:t xml:space="preserve">Minimum order value: ₹1,00,000 per Order. For orders below minimum, the Supplier may levy a surcharge of ten percent (10%) or refuse the Order.</w:t>
      </w:r>
    </w:p>
    <w:bookmarkEnd w:id="18"/>
    <w:bookmarkEnd w:id="19"/>
    <w:bookmarkStart w:id="20" w:name="article-3-goods-and-specifications"/>
    <w:p>
      <w:pPr>
        <w:pStyle w:val="Heading2"/>
      </w:pPr>
      <w:r>
        <w:t xml:space="preserve">ARTICLE 3 — GOODS AND SPECIFICATIONS</w:t>
      </w:r>
    </w:p>
    <w:p>
      <w:pPr>
        <w:pStyle w:val="FirstParagraph"/>
      </w:pPr>
      <w:r>
        <w:t xml:space="preserve">The Goods shall conform to the Specifications in Schedule B. The Supplier shall provide Mill Test Certificates (MTC) or equivalent for each batch. The Buyer may conduct incoming inspection. Non-conforming Goods may be rejected; the Supplier shall replace or refund at the Buyer's option. Conformance to Specifications is a condition of acceptance.</w:t>
      </w:r>
    </w:p>
    <w:bookmarkEnd w:id="20"/>
    <w:bookmarkStart w:id="24" w:name="article-4-price-and-payment"/>
    <w:p>
      <w:pPr>
        <w:pStyle w:val="Heading2"/>
      </w:pPr>
      <w:r>
        <w:t xml:space="preserve">ARTICLE 4 — PRICE AND PAYMENT</w:t>
      </w:r>
    </w:p>
    <w:bookmarkStart w:id="21" w:name="price"/>
    <w:p>
      <w:pPr>
        <w:pStyle w:val="Heading3"/>
      </w:pPr>
      <w:r>
        <w:t xml:space="preserve">4.1 Price</w:t>
      </w:r>
    </w:p>
    <w:p>
      <w:pPr>
        <w:pStyle w:val="FirstParagraph"/>
      </w:pPr>
      <w:r>
        <w:t xml:space="preserve">Prices as per Schedule C. Prices are inclusive of packaging and delivery to Delivery Location, exclusive of GST. Prices are fixed for the initial twelve (12) months; thereafter subject to revision on sixty (60) days' notice. Revision shall not exceed the change in the relevant commodity index (e.g., SteelMint index) or five percent (5%), whichever is lower, unless otherwise agreed.</w:t>
      </w:r>
    </w:p>
    <w:bookmarkEnd w:id="21"/>
    <w:bookmarkStart w:id="22" w:name="payment-terms"/>
    <w:p>
      <w:pPr>
        <w:pStyle w:val="Heading3"/>
      </w:pPr>
      <w:r>
        <w:t xml:space="preserve">4.2 Payment Terms</w:t>
      </w:r>
    </w:p>
    <w:p>
      <w:pPr>
        <w:pStyle w:val="FirstParagraph"/>
      </w:pPr>
      <w:r>
        <w:t xml:space="preserve">Credit period: forty-five (45) days from invoice date or receipt of Goods, whichever is later. Payment by NEFT/RTGS. The Buyer shall pay within the credit period. Late payment shall bear interest at eighteen percent (18%) per annum.</w:t>
      </w:r>
    </w:p>
    <w:bookmarkEnd w:id="22"/>
    <w:bookmarkStart w:id="23" w:name="invoicing"/>
    <w:p>
      <w:pPr>
        <w:pStyle w:val="Heading3"/>
      </w:pPr>
      <w:r>
        <w:t xml:space="preserve">4.3 Invoicing</w:t>
      </w:r>
    </w:p>
    <w:p>
      <w:pPr>
        <w:pStyle w:val="FirstParagraph"/>
      </w:pPr>
      <w:r>
        <w:t xml:space="preserve">The Supplier shall issue tax invoice with GSTIN upon Delivery. Invoice shall reference the Order number and include MTC reference. Disputes shall be notified within seven (7) days of invoice; undisputed amounts shall be paid on time.</w:t>
      </w:r>
    </w:p>
    <w:bookmarkEnd w:id="23"/>
    <w:bookmarkEnd w:id="24"/>
    <w:bookmarkStart w:id="28" w:name="article-5-delivery-and-title"/>
    <w:p>
      <w:pPr>
        <w:pStyle w:val="Heading2"/>
      </w:pPr>
      <w:r>
        <w:t xml:space="preserve">ARTICLE 5 — DELIVERY AND TITLE</w:t>
      </w:r>
    </w:p>
    <w:bookmarkStart w:id="25" w:name="delivery"/>
    <w:p>
      <w:pPr>
        <w:pStyle w:val="Heading3"/>
      </w:pPr>
      <w:r>
        <w:t xml:space="preserve">5.1 Delivery</w:t>
      </w:r>
    </w:p>
    <w:p>
      <w:pPr>
        <w:pStyle w:val="FirstParagraph"/>
      </w:pPr>
      <w:r>
        <w:t xml:space="preserve">Delivery shall be at the Delivery Location during business hours. The Supplier shall deliver as per the delivery date on the Order. Partial deliveries require prior consent. Risk passes to the Buyer upon Delivery. Title passes upon payment.</w:t>
      </w:r>
    </w:p>
    <w:bookmarkEnd w:id="25"/>
    <w:bookmarkStart w:id="26" w:name="delay"/>
    <w:p>
      <w:pPr>
        <w:pStyle w:val="Heading3"/>
      </w:pPr>
      <w:r>
        <w:t xml:space="preserve">5.2 Delay</w:t>
      </w:r>
    </w:p>
    <w:p>
      <w:pPr>
        <w:pStyle w:val="FirstParagraph"/>
      </w:pPr>
      <w:r>
        <w:t xml:space="preserve">If the Supplier anticipates delay, it shall notify promptly. Delay beyond seven (7) days of the agreed date may entitle the Buyer to liquidated damages of 0.5% of Order value per day of delay, capped at five percent (5%). The Buyer may cancel the Order if delay exceeds thirty (30) days.</w:t>
      </w:r>
    </w:p>
    <w:bookmarkEnd w:id="26"/>
    <w:bookmarkStart w:id="27" w:name="rejection"/>
    <w:p>
      <w:pPr>
        <w:pStyle w:val="Heading3"/>
      </w:pPr>
      <w:r>
        <w:t xml:space="preserve">5.3 Rejection</w:t>
      </w:r>
    </w:p>
    <w:p>
      <w:pPr>
        <w:pStyle w:val="FirstParagraph"/>
      </w:pPr>
      <w:r>
        <w:t xml:space="preserve">The Buyer may reject non-conforming Goods. The Buyer shall notify within five (5) days of receipt. The Supplier shall collect rejected Goods and replace or refund within ten (10) days.</w:t>
      </w:r>
    </w:p>
    <w:bookmarkEnd w:id="27"/>
    <w:bookmarkEnd w:id="28"/>
    <w:bookmarkStart w:id="29" w:name="article-6-quality-and-warranty"/>
    <w:p>
      <w:pPr>
        <w:pStyle w:val="Heading2"/>
      </w:pPr>
      <w:r>
        <w:t xml:space="preserve">ARTICLE 6 — QUALITY AND WARRANTY</w:t>
      </w:r>
    </w:p>
    <w:p>
      <w:pPr>
        <w:pStyle w:val="FirstParagraph"/>
      </w:pPr>
      <w:r>
        <w:t xml:space="preserve">The Supplier warrants that the Goods shall: (a) conform to Specifications; (b) be of merchantable quality; (c) be free from defect in material and workmanship; (d) comply with applicable standards (IS, ASTM as specified). The warranty period is twelve (12) months from Delivery or until the Goods are used in manufacturing, whichever is earlier. The Supplier shall not be liable for defects caused by the Buyer's handling, storage, or use.</w:t>
      </w:r>
    </w:p>
    <w:bookmarkEnd w:id="29"/>
    <w:bookmarkStart w:id="30" w:name="article-7-indemnification"/>
    <w:p>
      <w:pPr>
        <w:pStyle w:val="Heading2"/>
      </w:pPr>
      <w:r>
        <w:t xml:space="preserve">ARTICLE 7 — INDEMNIFICATION</w:t>
      </w:r>
    </w:p>
    <w:p>
      <w:pPr>
        <w:pStyle w:val="FirstParagraph"/>
      </w:pPr>
      <w:r>
        <w:t xml:space="preserve">The Supplier shall indemnify the Buyer for claims arising from: (a) defect in Goods; (b) Supplier's breach; (c) infringement of third-party IP; (d) violation of law. The Buyer shall indemnify the Supplier for claims arising from the Buyer's use, modification, or combination of Goods. Liability cap: the price of the Order giving rise to the claim, except for fraud or personal injury.</w:t>
      </w:r>
    </w:p>
    <w:bookmarkEnd w:id="30"/>
    <w:bookmarkStart w:id="31" w:name="article-8-force-majeure"/>
    <w:p>
      <w:pPr>
        <w:pStyle w:val="Heading2"/>
      </w:pPr>
      <w:r>
        <w:t xml:space="preserve">ARTICLE 8 — FORCE MAJEURE</w:t>
      </w:r>
    </w:p>
    <w:p>
      <w:pPr>
        <w:pStyle w:val="FirstParagraph"/>
      </w:pPr>
      <w:r>
        <w:t xml:space="preserve">Neither Party shall be liable for failure due to force majeure (act of God, war, embargo, pandemic, natural disaster, government action). The affected Party shall notify within five (5) days. If force majeure continues beyond sixty (60) days, either Party may terminate. The Buyer shall pay for Goods delivered and for work-in-progress at cost.</w:t>
      </w:r>
    </w:p>
    <w:bookmarkEnd w:id="31"/>
    <w:bookmarkStart w:id="32" w:name="article-9-termination"/>
    <w:p>
      <w:pPr>
        <w:pStyle w:val="Heading2"/>
      </w:pPr>
      <w:r>
        <w:t xml:space="preserve">ARTICLE 9 — TERMINATION</w:t>
      </w:r>
    </w:p>
    <w:p>
      <w:pPr>
        <w:pStyle w:val="FirstParagraph"/>
      </w:pPr>
      <w:r>
        <w:t xml:space="preserve">Either Party may terminate for material breach on thirty (30) days' notice to cure. Either Party may terminate for insolvency. The Buyer may terminate for convenience on ninety (90) days' notice. Upon termination, the Buyer shall pay for delivered Goods and for non-cancellable Orders. Articles 6, 7, 8, and 10 survive.</w:t>
      </w:r>
    </w:p>
    <w:bookmarkEnd w:id="32"/>
    <w:bookmarkStart w:id="33" w:name="article-10-governing-law-and-arbitration"/>
    <w:p>
      <w:pPr>
        <w:pStyle w:val="Heading2"/>
      </w:pPr>
      <w:r>
        <w:t xml:space="preserve">ARTICLE 10 — GOVERNING LAW AND ARBITRATION</w:t>
      </w:r>
    </w:p>
    <w:p>
      <w:pPr>
        <w:pStyle w:val="FirstParagraph"/>
      </w:pPr>
      <w:r>
        <w:t xml:space="preserve">Governed by Indian Contract Act, 1872 and Sale of Goods Act, 1930. Disputes: negotiation for thirty (30) days; then arbitration under Arbitration and Conciliation Act, 1996. Sole arbitrator; seat Chennai; language English. Courts at Chennai for interim relief.</w:t>
      </w:r>
    </w:p>
    <w:bookmarkEnd w:id="33"/>
    <w:bookmarkStart w:id="34" w:name="schedule-a-delivery-location"/>
    <w:p>
      <w:pPr>
        <w:pStyle w:val="Heading2"/>
      </w:pPr>
      <w:r>
        <w:t xml:space="preserve">SCHEDULE A — DELIVERY LOCATION</w:t>
      </w:r>
    </w:p>
    <w:p>
      <w:pPr>
        <w:pStyle w:val="FirstParagraph"/>
      </w:pPr>
      <w:r>
        <w:rPr>
          <w:b/>
          <w:bCs/>
        </w:rPr>
        <w:t xml:space="preserve">Address:</w:t>
      </w:r>
      <w:r>
        <w:t xml:space="preserve"> </w:t>
      </w:r>
      <w:r>
        <w:t xml:space="preserve">Precision Components India Pvt Ltd, Plot 45, SIPCOT Industrial Park, Sriperumbudur, Tamil Nadu 602105.</w:t>
      </w:r>
      <w:r>
        <w:t xml:space="preserve"> </w:t>
      </w:r>
      <w:r>
        <w:rPr>
          <w:b/>
          <w:bCs/>
        </w:rPr>
        <w:t xml:space="preserve">Contact:</w:t>
      </w:r>
      <w:r>
        <w:t xml:space="preserve"> </w:t>
      </w:r>
      <w:r>
        <w:t xml:space="preserve">Stores Manager, Tel: [ ];</w:t>
      </w:r>
      <w:r>
        <w:t xml:space="preserve"> </w:t>
      </w:r>
      <w:r>
        <w:rPr>
          <w:b/>
          <w:bCs/>
        </w:rPr>
        <w:t xml:space="preserve">Receiving Hours:</w:t>
      </w:r>
      <w:r>
        <w:t xml:space="preserve"> </w:t>
      </w:r>
      <w:r>
        <w:t xml:space="preserve">8:00 AM – 5:00 PM, Monday – Saturday.</w:t>
      </w:r>
      <w:r>
        <w:t xml:space="preserve"> </w:t>
      </w:r>
      <w:r>
        <w:rPr>
          <w:b/>
          <w:bCs/>
        </w:rPr>
        <w:t xml:space="preserve">Documents Required:</w:t>
      </w:r>
      <w:r>
        <w:t xml:space="preserve"> </w:t>
      </w:r>
      <w:r>
        <w:t xml:space="preserve">Delivery challan, Invoice, MTC, E-way bill if applicable.</w:t>
      </w:r>
    </w:p>
    <w:bookmarkEnd w:id="34"/>
    <w:bookmarkStart w:id="35" w:name="schedule-b-goods-and-specifications"/>
    <w:p>
      <w:pPr>
        <w:pStyle w:val="Heading2"/>
      </w:pPr>
      <w:r>
        <w:t xml:space="preserve">SCHEDULE B — GOODS AND SPECIFICATIONS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 Code</w:t>
            </w:r>
          </w:p>
        </w:tc>
        <w:tc>
          <w:tcPr/>
          <w:p>
            <w:pPr>
              <w:pStyle w:val="Compact"/>
            </w:pPr>
            <w:r>
              <w:t xml:space="preserve">Description</w:t>
            </w:r>
          </w:p>
        </w:tc>
        <w:tc>
          <w:tcPr/>
          <w:p>
            <w:pPr>
              <w:pStyle w:val="Compact"/>
            </w:pPr>
            <w:r>
              <w:t xml:space="preserve">Specification</w:t>
            </w:r>
          </w:p>
        </w:tc>
        <w:tc>
          <w:tcPr/>
          <w:p>
            <w:pPr>
              <w:pStyle w:val="Compact"/>
            </w:pPr>
            <w:r>
              <w:t xml:space="preserve">Unit</w:t>
            </w:r>
          </w:p>
        </w:tc>
      </w:tr>
      <w:tr>
        <w:tc>
          <w:tcPr/>
          <w:p>
            <w:pPr>
              <w:pStyle w:val="Compact"/>
            </w:pPr>
            <w:r>
              <w:t xml:space="preserve">RMS-001</w:t>
            </w:r>
          </w:p>
        </w:tc>
        <w:tc>
          <w:tcPr/>
          <w:p>
            <w:pPr>
              <w:pStyle w:val="Compact"/>
            </w:pPr>
            <w:r>
              <w:t xml:space="preserve">Cold Rolled Steel</w:t>
            </w:r>
          </w:p>
        </w:tc>
        <w:tc>
          <w:tcPr/>
          <w:p>
            <w:pPr>
              <w:pStyle w:val="Compact"/>
            </w:pPr>
            <w:r>
              <w:t xml:space="preserve">IS 513 CR2, 1mm–2mm</w:t>
            </w:r>
          </w:p>
        </w:tc>
        <w:tc>
          <w:tcPr/>
          <w:p>
            <w:pPr>
              <w:pStyle w:val="Compact"/>
            </w:pPr>
            <w:r>
              <w:t xml:space="preserve">MT</w:t>
            </w:r>
          </w:p>
        </w:tc>
      </w:tr>
      <w:tr>
        <w:tc>
          <w:tcPr/>
          <w:p>
            <w:pPr>
              <w:pStyle w:val="Compact"/>
            </w:pPr>
            <w:r>
              <w:t xml:space="preserve">RMS-002</w:t>
            </w:r>
          </w:p>
        </w:tc>
        <w:tc>
          <w:tcPr/>
          <w:p>
            <w:pPr>
              <w:pStyle w:val="Compact"/>
            </w:pPr>
            <w:r>
              <w:t xml:space="preserve">Stainless Steel 304</w:t>
            </w:r>
          </w:p>
        </w:tc>
        <w:tc>
          <w:tcPr/>
          <w:p>
            <w:pPr>
              <w:pStyle w:val="Compact"/>
            </w:pPr>
            <w:r>
              <w:t xml:space="preserve">ASTM A240</w:t>
            </w:r>
          </w:p>
        </w:tc>
        <w:tc>
          <w:tcPr/>
          <w:p>
            <w:pPr>
              <w:pStyle w:val="Compact"/>
            </w:pPr>
            <w:r>
              <w:t xml:space="preserve">MT</w:t>
            </w:r>
          </w:p>
        </w:tc>
      </w:tr>
      <w:tr>
        <w:tc>
          <w:tcPr/>
          <w:p>
            <w:pPr>
              <w:pStyle w:val="Compact"/>
            </w:pPr>
            <w:r>
              <w:t xml:space="preserve">RMS-003</w:t>
            </w:r>
          </w:p>
        </w:tc>
        <w:tc>
          <w:tcPr/>
          <w:p>
            <w:pPr>
              <w:pStyle w:val="Compact"/>
            </w:pPr>
            <w:r>
              <w:t xml:space="preserve">Aluminium Alloy 6061</w:t>
            </w:r>
          </w:p>
        </w:tc>
        <w:tc>
          <w:tcPr/>
          <w:p>
            <w:pPr>
              <w:pStyle w:val="Compact"/>
            </w:pPr>
            <w:r>
              <w:t xml:space="preserve">IS 734</w:t>
            </w:r>
          </w:p>
        </w:tc>
        <w:tc>
          <w:tcPr/>
          <w:p>
            <w:pPr>
              <w:pStyle w:val="Compact"/>
            </w:pPr>
            <w:r>
              <w:t xml:space="preserve">MT</w:t>
            </w:r>
          </w:p>
        </w:tc>
      </w:tr>
      <w:tr>
        <w:tc>
          <w:tcPr/>
          <w:p>
            <w:pPr>
              <w:pStyle w:val="Compact"/>
            </w:pPr>
            <w:r>
              <w:t xml:space="preserve">RMS-004</w:t>
            </w:r>
          </w:p>
        </w:tc>
        <w:tc>
          <w:tcPr/>
          <w:p>
            <w:pPr>
              <w:pStyle w:val="Compact"/>
            </w:pPr>
            <w:r>
              <w:t xml:space="preserve">Mild Steel Plate</w:t>
            </w:r>
          </w:p>
        </w:tc>
        <w:tc>
          <w:tcPr/>
          <w:p>
            <w:pPr>
              <w:pStyle w:val="Compact"/>
            </w:pPr>
            <w:r>
              <w:t xml:space="preserve">IS 2062 E250</w:t>
            </w:r>
          </w:p>
        </w:tc>
        <w:tc>
          <w:tcPr/>
          <w:p>
            <w:pPr>
              <w:pStyle w:val="Compact"/>
            </w:pPr>
            <w:r>
              <w:t xml:space="preserve">MT</w:t>
            </w:r>
          </w:p>
        </w:tc>
      </w:tr>
    </w:tbl>
    <w:p>
      <w:pPr>
        <w:pStyle w:val="BodyText"/>
      </w:pPr>
      <w:r>
        <w:t xml:space="preserve">Additional items may be added by written amendment. Tolerances as per relevant standards. MTC mandatory for each batch.</w:t>
      </w:r>
    </w:p>
    <w:bookmarkEnd w:id="35"/>
    <w:bookmarkStart w:id="36" w:name="schedule-c-price-list-initial"/>
    <w:p>
      <w:pPr>
        <w:pStyle w:val="Heading2"/>
      </w:pPr>
      <w:r>
        <w:t xml:space="preserve">SCHEDULE C — PRICE LIST (INITIAL)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 Code</w:t>
            </w:r>
          </w:p>
        </w:tc>
        <w:tc>
          <w:tcPr/>
          <w:p>
            <w:pPr>
              <w:pStyle w:val="Compact"/>
            </w:pPr>
            <w:r>
              <w:t xml:space="preserve">Price (₹/MT)</w:t>
            </w:r>
          </w:p>
        </w:tc>
        <w:tc>
          <w:tcPr/>
          <w:p>
            <w:pPr>
              <w:pStyle w:val="Compact"/>
            </w:pPr>
            <w:r>
              <w:t xml:space="preserve">GST</w:t>
            </w:r>
          </w:p>
        </w:tc>
        <w:tc>
          <w:tcPr/>
          <w:p>
            <w:pPr>
              <w:pStyle w:val="Compact"/>
            </w:pPr>
            <w:r>
              <w:t xml:space="preserve">Validity</w:t>
            </w:r>
          </w:p>
        </w:tc>
      </w:tr>
      <w:tr>
        <w:tc>
          <w:tcPr/>
          <w:p>
            <w:pPr>
              <w:pStyle w:val="Compact"/>
            </w:pPr>
            <w:r>
              <w:t xml:space="preserve">RMS-001</w:t>
            </w:r>
          </w:p>
        </w:tc>
        <w:tc>
          <w:tcPr/>
          <w:p>
            <w:pPr>
              <w:pStyle w:val="Compact"/>
            </w:pPr>
            <w:r>
              <w:t xml:space="preserve">62,000</w:t>
            </w:r>
          </w:p>
        </w:tc>
        <w:tc>
          <w:tcPr/>
          <w:p>
            <w:pPr>
              <w:pStyle w:val="Compact"/>
            </w:pPr>
            <w:r>
              <w:t xml:space="preserve">18%</w:t>
            </w:r>
          </w:p>
        </w:tc>
        <w:tc>
          <w:tcPr/>
          <w:p>
            <w:pPr>
              <w:pStyle w:val="Compact"/>
            </w:pPr>
            <w:r>
              <w:t xml:space="preserve">12 months</w:t>
            </w:r>
          </w:p>
        </w:tc>
      </w:tr>
      <w:tr>
        <w:tc>
          <w:tcPr/>
          <w:p>
            <w:pPr>
              <w:pStyle w:val="Compact"/>
            </w:pPr>
            <w:r>
              <w:t xml:space="preserve">RMS-002</w:t>
            </w:r>
          </w:p>
        </w:tc>
        <w:tc>
          <w:tcPr/>
          <w:p>
            <w:pPr>
              <w:pStyle w:val="Compact"/>
            </w:pPr>
            <w:r>
              <w:t xml:space="preserve">1,85,000</w:t>
            </w:r>
          </w:p>
        </w:tc>
        <w:tc>
          <w:tcPr/>
          <w:p>
            <w:pPr>
              <w:pStyle w:val="Compact"/>
            </w:pPr>
            <w:r>
              <w:t xml:space="preserve">18%</w:t>
            </w:r>
          </w:p>
        </w:tc>
        <w:tc>
          <w:tcPr/>
          <w:p>
            <w:pPr>
              <w:pStyle w:val="Compact"/>
            </w:pPr>
            <w:r>
              <w:t xml:space="preserve">12 months</w:t>
            </w:r>
          </w:p>
        </w:tc>
      </w:tr>
      <w:tr>
        <w:tc>
          <w:tcPr/>
          <w:p>
            <w:pPr>
              <w:pStyle w:val="Compact"/>
            </w:pPr>
            <w:r>
              <w:t xml:space="preserve">RMS-003</w:t>
            </w:r>
          </w:p>
        </w:tc>
        <w:tc>
          <w:tcPr/>
          <w:p>
            <w:pPr>
              <w:pStyle w:val="Compact"/>
            </w:pPr>
            <w:r>
              <w:t xml:space="preserve">2,45,000</w:t>
            </w:r>
          </w:p>
        </w:tc>
        <w:tc>
          <w:tcPr/>
          <w:p>
            <w:pPr>
              <w:pStyle w:val="Compact"/>
            </w:pPr>
            <w:r>
              <w:t xml:space="preserve">18%</w:t>
            </w:r>
          </w:p>
        </w:tc>
        <w:tc>
          <w:tcPr/>
          <w:p>
            <w:pPr>
              <w:pStyle w:val="Compact"/>
            </w:pPr>
            <w:r>
              <w:t xml:space="preserve">12 months</w:t>
            </w:r>
          </w:p>
        </w:tc>
      </w:tr>
      <w:tr>
        <w:tc>
          <w:tcPr/>
          <w:p>
            <w:pPr>
              <w:pStyle w:val="Compact"/>
            </w:pPr>
            <w:r>
              <w:t xml:space="preserve">RMS-004</w:t>
            </w:r>
          </w:p>
        </w:tc>
        <w:tc>
          <w:tcPr/>
          <w:p>
            <w:pPr>
              <w:pStyle w:val="Compact"/>
            </w:pPr>
            <w:r>
              <w:t xml:space="preserve">58,000</w:t>
            </w:r>
          </w:p>
        </w:tc>
        <w:tc>
          <w:tcPr/>
          <w:p>
            <w:pPr>
              <w:pStyle w:val="Compact"/>
            </w:pPr>
            <w:r>
              <w:t xml:space="preserve">18%</w:t>
            </w:r>
          </w:p>
        </w:tc>
        <w:tc>
          <w:tcPr/>
          <w:p>
            <w:pPr>
              <w:pStyle w:val="Compact"/>
            </w:pPr>
            <w:r>
              <w:t xml:space="preserve">12 months</w:t>
            </w:r>
          </w:p>
        </w:tc>
      </w:tr>
    </w:tbl>
    <w:p>
      <w:pPr>
        <w:pStyle w:val="BodyText"/>
      </w:pPr>
      <w:r>
        <w:t xml:space="preserve">Prices Ex Works (Supplier's premises) or inclusive of delivery as agreed per Order. Prices subject to revision per Article 4.1.</w:t>
      </w:r>
    </w:p>
    <w:bookmarkEnd w:id="36"/>
    <w:bookmarkStart w:id="37" w:name="schedule-d-quality-inspection"/>
    <w:p>
      <w:pPr>
        <w:pStyle w:val="Heading2"/>
      </w:pPr>
      <w:r>
        <w:t xml:space="preserve">SCHEDULE D — QUALITY INSPECTION</w:t>
      </w:r>
    </w:p>
    <w:p>
      <w:pPr>
        <w:pStyle w:val="FirstParagraph"/>
      </w:pPr>
      <w:r>
        <w:t xml:space="preserve">The Buyer shall conduct visual and dimensional inspection. For critical applications, the Buyer may require third-party testing at Supplier's cost if non-conformance is found. The Supplier shall have right to inspect rejected Goods and dispute rejection in good faith. Disputes on quality may be referred to an independent lab; cost borne by the party against whom the finding is made.</w:t>
      </w:r>
    </w:p>
    <w:bookmarkEnd w:id="37"/>
    <w:bookmarkStart w:id="38" w:name="schedule-e-forecast-quantities-estimate"/>
    <w:p>
      <w:pPr>
        <w:pStyle w:val="Heading2"/>
      </w:pPr>
      <w:r>
        <w:t xml:space="preserve">SCHEDULE E — FORECAST QUANTITIES (ESTIMATE)</w:t>
      </w:r>
    </w:p>
    <w:p>
      <w:pPr>
        <w:pStyle w:val="FirstParagraph"/>
      </w:pPr>
      <w:r>
        <w:t xml:space="preserve">Estimated monthly requirement: RMS-001: 50 MT; RMS-002: 20 MT; RMS-003: 15 MT; RMS-004: 80 MT. Total estimated annual value: ₹12–15 Crore. These are estimates only; the Buyer does not guarantee minimum offtake.</w:t>
      </w:r>
    </w:p>
    <w:bookmarkEnd w:id="38"/>
    <w:bookmarkStart w:id="39" w:name="schedule-f-packaging-and-handling"/>
    <w:p>
      <w:pPr>
        <w:pStyle w:val="Heading2"/>
      </w:pPr>
      <w:r>
        <w:t xml:space="preserve">SCHEDULE F — PACKAGING AND HANDLING</w:t>
      </w:r>
    </w:p>
    <w:p>
      <w:pPr>
        <w:pStyle w:val="FirstParagraph"/>
      </w:pPr>
      <w:r>
        <w:t xml:space="preserve">Goods shall be packed to prevent damage in transit. Steel: bundled, tagged with grade and batch. Aluminium: crated or palletized. Packaging cost included in Price. The Buyer shall provide adequate unloading facilities. The Supplier's driver/representative shall assist with unloading if required.</w:t>
      </w:r>
    </w:p>
    <w:bookmarkEnd w:id="39"/>
    <w:bookmarkStart w:id="40" w:name="schedule-g-liability-cap"/>
    <w:p>
      <w:pPr>
        <w:pStyle w:val="Heading2"/>
      </w:pPr>
      <w:r>
        <w:t xml:space="preserve">SCHEDULE G — LIABILITY CAP</w:t>
      </w:r>
    </w:p>
    <w:p>
      <w:pPr>
        <w:pStyle w:val="FirstParagraph"/>
      </w:pPr>
      <w:r>
        <w:t xml:space="preserve">Except for fraud, wilful misconduct, or personal injury: (a) Supplier's aggregate liability shall not exceed the total Order value in the twelve (12) months preceding the claim; (b) neither Party liable for indirect, consequential, or punitive damages; (c) Supplier not liable for Buyer's production losses or lost profits beyond the price of the non-conforming Goods.</w:t>
      </w:r>
    </w:p>
    <w:bookmarkEnd w:id="40"/>
    <w:bookmarkStart w:id="41" w:name="annexure-i-e-way-bill"/>
    <w:p>
      <w:pPr>
        <w:pStyle w:val="Heading2"/>
      </w:pPr>
      <w:r>
        <w:t xml:space="preserve">ANNEXURE I — E-WAY BILL</w:t>
      </w:r>
    </w:p>
    <w:p>
      <w:pPr>
        <w:pStyle w:val="FirstParagraph"/>
      </w:pPr>
      <w:r>
        <w:t xml:space="preserve">For movement of Goods exceeding ₹50,000, the Supplier shall generate e-way bill as per GST rules. The Buyer shall provide GSTIN and place of delivery. Consignment value and distance determine e-way bill requirement.</w:t>
      </w:r>
    </w:p>
    <w:bookmarkEnd w:id="41"/>
    <w:bookmarkStart w:id="42" w:name="annexure-ii-insurance"/>
    <w:p>
      <w:pPr>
        <w:pStyle w:val="Heading2"/>
      </w:pPr>
      <w:r>
        <w:t xml:space="preserve">ANNEXURE II — INSURANCE</w:t>
      </w:r>
    </w:p>
    <w:p>
      <w:pPr>
        <w:pStyle w:val="FirstParagraph"/>
      </w:pPr>
      <w:r>
        <w:t xml:space="preserve">The Supplier shall maintain transit insurance for Goods until Delivery. The Buyer is responsible for insurance from Delivery. Loss or damage in transit: the Buyer shall note on the delivery challan and notify the Supplier within twenty-four (24) hours. Claims shall be processed as per insurance policy.</w:t>
      </w:r>
    </w:p>
    <w:bookmarkEnd w:id="42"/>
    <w:bookmarkStart w:id="43" w:name="annexure-iii-annual-volume-rebate"/>
    <w:p>
      <w:pPr>
        <w:pStyle w:val="Heading2"/>
      </w:pPr>
      <w:r>
        <w:t xml:space="preserve">ANNEXURE III — ANNUAL VOLUME REBATE</w:t>
      </w:r>
    </w:p>
    <w:p>
      <w:pPr>
        <w:pStyle w:val="FirstParagraph"/>
      </w:pPr>
      <w:r>
        <w:t xml:space="preserve">If the Buyer's annual purchase exceeds ₹10 Crore, the Supplier shall offer a rebate of 1% on the excess. If annual purchase exceeds ₹15 Crore, rebate of 1.5% on the excess. Rebate shall be credited against invoices in the following quarter.</w:t>
      </w:r>
    </w:p>
    <w:bookmarkEnd w:id="43"/>
    <w:bookmarkStart w:id="44" w:name="Xa6d92de168aab5c027a9a2810cc75b4e6bf693d"/>
    <w:p>
      <w:pPr>
        <w:pStyle w:val="Heading2"/>
      </w:pPr>
      <w:r>
        <w:t xml:space="preserve">ANNEXURE IV — TECHNICAL SPECIFICATIONS DETAIL</w:t>
      </w:r>
    </w:p>
    <w:p>
      <w:pPr>
        <w:pStyle w:val="FirstParagraph"/>
      </w:pPr>
      <w:r>
        <w:rPr>
          <w:b/>
          <w:bCs/>
        </w:rPr>
        <w:t xml:space="preserve">RMS-001 (CR Steel):</w:t>
      </w:r>
      <w:r>
        <w:t xml:space="preserve"> </w:t>
      </w:r>
      <w:r>
        <w:t xml:space="preserve">Thickness tolerance ±0.05mm; surface finish as per IS 513; edges mill edge or slit as ordered; packing in moisture-resistant wrapping.</w:t>
      </w:r>
      <w:r>
        <w:t xml:space="preserve"> </w:t>
      </w:r>
      <w:r>
        <w:rPr>
          <w:b/>
          <w:bCs/>
        </w:rPr>
        <w:t xml:space="preserve">RMS-002 (SS 304):</w:t>
      </w:r>
      <w:r>
        <w:t xml:space="preserve"> </w:t>
      </w:r>
      <w:r>
        <w:t xml:space="preserve">Composition as per ASTM A240; finish 2B or as specified; dimensions as per order.</w:t>
      </w:r>
      <w:r>
        <w:t xml:space="preserve"> </w:t>
      </w:r>
      <w:r>
        <w:rPr>
          <w:b/>
          <w:bCs/>
        </w:rPr>
        <w:t xml:space="preserve">RMS-003 (Al 6061):</w:t>
      </w:r>
      <w:r>
        <w:t xml:space="preserve"> </w:t>
      </w:r>
      <w:r>
        <w:t xml:space="preserve">Temper T6; dimensions per order; anodizing available on request.</w:t>
      </w:r>
      <w:r>
        <w:t xml:space="preserve"> </w:t>
      </w:r>
      <w:r>
        <w:rPr>
          <w:b/>
          <w:bCs/>
        </w:rPr>
        <w:t xml:space="preserve">RMS-004 (MS Plate):</w:t>
      </w:r>
      <w:r>
        <w:t xml:space="preserve"> </w:t>
      </w:r>
      <w:r>
        <w:t xml:space="preserve">Grade E250; dimensions as per order; surface as rolled. All materials to be from recognised mills. Supplier to provide mill certificate with each consignment.</w:t>
      </w:r>
    </w:p>
    <w:bookmarkEnd w:id="44"/>
    <w:bookmarkStart w:id="45" w:name="X909459e30f5bad23111fe747da46fcf23b1bbbc"/>
    <w:p>
      <w:pPr>
        <w:pStyle w:val="Heading2"/>
      </w:pPr>
      <w:r>
        <w:t xml:space="preserve">ANNEXURE V — INSPECTION AND REJECTION PROCEDURE</w:t>
      </w:r>
    </w:p>
    <w:p>
      <w:pPr>
        <w:pStyle w:val="FirstParagraph"/>
      </w:pPr>
      <w:r>
        <w:t xml:space="preserve">Step 1: Buyer receives Goods and conducts visual inspection and dimensional check. Step 2: If non-conformity suspected, Buyer notifies Supplier in writing within 5 days with details and photographs. Step 3: Supplier may inspect at Buyer's facility within 7 days. Step 4: If dispute, sample may be sent to mutually agreed third-party lab. Step 5: Lab result binding. Cost of lab test borne by losing party. Step 6: For confirmed rejection, Supplier replaces or refunds within 10 days. Buyer may source from alternate supplier for urgent needs; cost difference recoverable from Supplier if rejection upheld.</w:t>
      </w:r>
    </w:p>
    <w:bookmarkEnd w:id="45"/>
    <w:bookmarkStart w:id="46" w:name="annexure-vi-price-revision-mechanism"/>
    <w:p>
      <w:pPr>
        <w:pStyle w:val="Heading2"/>
      </w:pPr>
      <w:r>
        <w:t xml:space="preserve">ANNEXURE VI — PRICE REVISION MECHANISM</w:t>
      </w:r>
    </w:p>
    <w:p>
      <w:pPr>
        <w:pStyle w:val="FirstParagraph"/>
      </w:pPr>
      <w:r>
        <w:t xml:space="preserve">After initial 12 months, revision may be proposed with 60 days' notice. Basis: SteelMint India HRC index or LME aluminium (as applicable) average of preceding 3 months vs. base period. Cap: 5% per revision or change in index, whichever is lower. Buyer may lock in prices for 3 or 6 months by advance payment or as agreed. Downward revision: If index falls by more than 5%, Buyer may request corresponding reduction. Disputes on index or calculation to be resolved by reference to published data.</w:t>
      </w:r>
    </w:p>
    <w:bookmarkEnd w:id="46"/>
    <w:bookmarkStart w:id="47" w:name="annexure-vii-supply-chain-and-sourcing"/>
    <w:p>
      <w:pPr>
        <w:pStyle w:val="Heading2"/>
      </w:pPr>
      <w:r>
        <w:t xml:space="preserve">ANNEXURE VII — SUPPLY CHAIN AND SOURCING</w:t>
      </w:r>
    </w:p>
    <w:p>
      <w:pPr>
        <w:pStyle w:val="FirstParagraph"/>
      </w:pPr>
      <w:r>
        <w:t xml:space="preserve">The Supplier shall source Goods from reputable mills and sources. The Supplier warrants that materials are as represented. For critical applications, the Buyer may require approval of specific mills. The Supplier shall notify of any change in source. The Supplier shall maintain traceability (batch/lot) for quality and recall purposes. In the event of quality issue affecting Buyer's production, the Supplier shall cooperate in root cause analysis.</w:t>
      </w:r>
    </w:p>
    <w:bookmarkEnd w:id="47"/>
    <w:bookmarkStart w:id="48" w:name="annexure-viii-force-majeure-events"/>
    <w:p>
      <w:pPr>
        <w:pStyle w:val="Heading2"/>
      </w:pPr>
      <w:r>
        <w:t xml:space="preserve">ANNEXURE VIII — FORCE MAJEURE EVENTS</w:t>
      </w:r>
    </w:p>
    <w:p>
      <w:pPr>
        <w:pStyle w:val="FirstParagraph"/>
      </w:pPr>
      <w:r>
        <w:t xml:space="preserve">Force majeure includes: natural disaster (earthquake, flood, cyclone); war, terrorism, civil unrest; pandemic or epidemic; government order (lockdown, export ban); strike at supplier's mill; fire at Supplier's warehouse; embargo. The affected Party shall notify within 5 days. Mitigation: use alternate sources, expedite shipments. If Supplier cannot supply for 60 days due to force majeure, Buyer may procure from alternate source without breach. Buyer shall pay for goods delivered and for firm orders that cannot be cancelled.</w:t>
      </w:r>
    </w:p>
    <w:bookmarkEnd w:id="48"/>
    <w:bookmarkStart w:id="49" w:name="annexure-ix-termination-settlement"/>
    <w:p>
      <w:pPr>
        <w:pStyle w:val="Heading2"/>
      </w:pPr>
      <w:r>
        <w:t xml:space="preserve">ANNEXURE IX — TERMINATION SETTLEMENT</w:t>
      </w:r>
    </w:p>
    <w:p>
      <w:pPr>
        <w:pStyle w:val="FirstParagraph"/>
      </w:pPr>
      <w:r>
        <w:t xml:space="preserve">On termination: (a) Buyer shall pay for all delivered Goods and accepted; (b) for Orders placed but not yet delivered, Buyer may cancel; (c) for non-cancellable Orders (e.g., material already procured by Supplier), Buyer shall accept delivery and pay; (d) Supplier shall deliver work-in-progress at cost if Buyer so requests. No penalty for termination for convenience except as above. Confidentiality and dispute resolution survive.</w:t>
      </w:r>
    </w:p>
    <w:bookmarkEnd w:id="49"/>
    <w:bookmarkStart w:id="50" w:name="annexure-x-indemnity-procedure"/>
    <w:p>
      <w:pPr>
        <w:pStyle w:val="Heading2"/>
      </w:pPr>
      <w:r>
        <w:t xml:space="preserve">ANNEXURE X — INDEMNITY PROCEDURE</w:t>
      </w:r>
    </w:p>
    <w:p>
      <w:pPr>
        <w:pStyle w:val="FirstParagraph"/>
      </w:pPr>
      <w:r>
        <w:t xml:space="preserve">Indemnified Party shall give prompt written notice of claim. Indemnifying Party may assume defence with counsel acceptable to Indemnified Party. Indemnified Party shall cooperate. No settlement affecting Indemnified Party without consent. Indemnified Party may participate at own expense. Failure to give prompt notice shall not relieve Indemnifying Party except to extent prejudiced. For product liability claims, Parties shall coordinate with their insurers.</w:t>
      </w:r>
    </w:p>
    <w:bookmarkEnd w:id="50"/>
    <w:bookmarkStart w:id="51" w:name="schedule-h-order-format-and-process"/>
    <w:p>
      <w:pPr>
        <w:pStyle w:val="Heading2"/>
      </w:pPr>
      <w:r>
        <w:t xml:space="preserve">SCHEDULE H — ORDER FORMAT AND PROCESS</w:t>
      </w:r>
    </w:p>
    <w:p>
      <w:pPr>
        <w:pStyle w:val="FirstParagraph"/>
      </w:pPr>
      <w:r>
        <w:t xml:space="preserve">Order to be in writing (email acceptable) with: Order number; Item code and description; Quantity; Price (or "as per Agreement"); Delivery date; Delivery location; Special instructions. Supplier shall acknowledge within 48 hours. Acknowledgment shall confirm or propose alternate date. If no response, Order is deemed accepted. Amendments to Order require written agreement.</w:t>
      </w:r>
    </w:p>
    <w:bookmarkEnd w:id="51"/>
    <w:bookmarkStart w:id="52" w:name="schedule-i-dispute-resolution"/>
    <w:p>
      <w:pPr>
        <w:pStyle w:val="Heading2"/>
      </w:pPr>
      <w:r>
        <w:t xml:space="preserve">SCHEDULE I — DISPUTE RESOLUTION</w:t>
      </w:r>
    </w:p>
    <w:p>
      <w:pPr>
        <w:pStyle w:val="FirstParagraph"/>
      </w:pPr>
      <w:r>
        <w:t xml:space="preserve">Step 1: Commercial dispute (quality, quantity, payment) – discussion between Buyer's Purchase Manager and Supplier's Sales Manager within 7 days. Step 2: If unresolved – escalation to senior management within 14 days. Step 3: If unresolved after 30 days from initial notice – arbitration. Arbitration under Arbitration and Conciliation Act, 1996. Sole arbitrator. Seat: Chennai. Language: English. Costs as awarded.</w:t>
      </w:r>
    </w:p>
    <w:bookmarkEnd w:id="52"/>
    <w:bookmarkStart w:id="53" w:name="schedule-j-governing-law"/>
    <w:p>
      <w:pPr>
        <w:pStyle w:val="Heading2"/>
      </w:pPr>
      <w:r>
        <w:t xml:space="preserve">SCHEDULE J — GOVERNING LAW</w:t>
      </w:r>
    </w:p>
    <w:p>
      <w:pPr>
        <w:pStyle w:val="FirstParagraph"/>
      </w:pPr>
      <w:r>
        <w:t xml:space="preserve">This Agreement is governed by the Indian Contract Act, 1872 and the Sale of Goods Act, 1930. The United Nations Convention on Contracts for the International Sale of Goods does not apply. All amounts in Indian Rupees. Taxes: GST as applicable. Each Party shall comply with applicable law including customs, export control, and anti-bribery.</w:t>
      </w:r>
    </w:p>
    <w:bookmarkEnd w:id="53"/>
    <w:bookmarkStart w:id="54" w:name="schedule-k-definitions-expanded"/>
    <w:p>
      <w:pPr>
        <w:pStyle w:val="Heading2"/>
      </w:pPr>
      <w:r>
        <w:t xml:space="preserve">SCHEDULE K — DEFINITIONS EXPANDED</w:t>
      </w:r>
    </w:p>
    <w:p>
      <w:pPr>
        <w:pStyle w:val="FirstParagraph"/>
      </w:pPr>
      <w:r>
        <w:rPr>
          <w:b/>
          <w:bCs/>
        </w:rPr>
        <w:t xml:space="preserve">Goods:</w:t>
      </w:r>
      <w:r>
        <w:t xml:space="preserve"> </w:t>
      </w:r>
      <w:r>
        <w:t xml:space="preserve">The raw materials described in Schedule B, conforming to Specifications.</w:t>
      </w:r>
      <w:r>
        <w:t xml:space="preserve"> </w:t>
      </w:r>
      <w:r>
        <w:rPr>
          <w:b/>
          <w:bCs/>
        </w:rPr>
        <w:t xml:space="preserve">Order:</w:t>
      </w:r>
      <w:r>
        <w:t xml:space="preserve"> </w:t>
      </w:r>
      <w:r>
        <w:t xml:space="preserve">A purchase order issued by the Buyer in writing.</w:t>
      </w:r>
      <w:r>
        <w:t xml:space="preserve"> </w:t>
      </w:r>
      <w:r>
        <w:rPr>
          <w:b/>
          <w:bCs/>
        </w:rPr>
        <w:t xml:space="preserve">Delivery:</w:t>
      </w:r>
      <w:r>
        <w:t xml:space="preserve"> </w:t>
      </w:r>
      <w:r>
        <w:t xml:space="preserve">Physical delivery at the Delivery Location, with delivery challan and MTC.</w:t>
      </w:r>
      <w:r>
        <w:t xml:space="preserve"> </w:t>
      </w:r>
      <w:r>
        <w:rPr>
          <w:b/>
          <w:bCs/>
        </w:rPr>
        <w:t xml:space="preserve">Acceptance:</w:t>
      </w:r>
      <w:r>
        <w:t xml:space="preserve"> </w:t>
      </w:r>
      <w:r>
        <w:t xml:space="preserve">The Buyer's acceptance of Goods (express or implied by use beyond 5 days without rejection).</w:t>
      </w:r>
      <w:r>
        <w:t xml:space="preserve"> </w:t>
      </w:r>
      <w:r>
        <w:rPr>
          <w:b/>
          <w:bCs/>
        </w:rPr>
        <w:t xml:space="preserve">Price:</w:t>
      </w:r>
      <w:r>
        <w:t xml:space="preserve"> </w:t>
      </w:r>
      <w:r>
        <w:t xml:space="preserve">The price per Schedule C as may be revised.</w:t>
      </w:r>
      <w:r>
        <w:t xml:space="preserve"> </w:t>
      </w:r>
      <w:r>
        <w:rPr>
          <w:b/>
          <w:bCs/>
        </w:rPr>
        <w:t xml:space="preserve">Specifications:</w:t>
      </w:r>
      <w:r>
        <w:t xml:space="preserve"> </w:t>
      </w:r>
      <w:r>
        <w:t xml:space="preserve">Technical and quality requirements per Schedule B and applicable standards.</w:t>
      </w:r>
    </w:p>
    <w:bookmarkEnd w:id="54"/>
    <w:bookmarkStart w:id="55" w:name="schedule-l-anti-bribery"/>
    <w:p>
      <w:pPr>
        <w:pStyle w:val="Heading2"/>
      </w:pPr>
      <w:r>
        <w:t xml:space="preserve">SCHEDULE L — ANTI-BRIBERY</w:t>
      </w:r>
    </w:p>
    <w:p>
      <w:pPr>
        <w:pStyle w:val="FirstParagraph"/>
      </w:pPr>
      <w:r>
        <w:t xml:space="preserve">Each Party warrants that it has not and will not offer, give, or promise any undue advantage to any person (including government officials) in connection with this Agreement. Each Party shall comply with the Prevention of Corruption Act, 1988 and applicable anti-bribery laws. Each Party shall maintain accurate books and records. Breach may constitute material breach entitling the other to terminate. Each Party shall ensure its personnel and agents comply.</w:t>
      </w:r>
    </w:p>
    <w:bookmarkEnd w:id="55"/>
    <w:bookmarkStart w:id="56" w:name="schedule-m-environmental-and-safety"/>
    <w:p>
      <w:pPr>
        <w:pStyle w:val="Heading2"/>
      </w:pPr>
      <w:r>
        <w:t xml:space="preserve">SCHEDULE M — ENVIRONMENTAL AND SAFETY</w:t>
      </w:r>
    </w:p>
    <w:p>
      <w:pPr>
        <w:pStyle w:val="FirstParagraph"/>
      </w:pPr>
      <w:r>
        <w:t xml:space="preserve">The Supplier shall comply with applicable environmental laws in sourcing, storing, and transporting Goods. The Supplier shall provide Material Safety Data Sheets (MSDS) where required. The Buyer shall handle and store Goods in accordance with good practice. Disposal of packaging and waste shall be as per applicable law. The Parties shall cooperate in the event of any environmental incident.</w:t>
      </w:r>
    </w:p>
    <w:bookmarkEnd w:id="56"/>
    <w:bookmarkStart w:id="57" w:name="annexure-xi-minimum-order-quantities"/>
    <w:p>
      <w:pPr>
        <w:pStyle w:val="Heading2"/>
      </w:pPr>
      <w:r>
        <w:t xml:space="preserve">ANNEXURE XI — MINIMUM ORDER QUANTITIES</w:t>
      </w:r>
    </w:p>
    <w:p>
      <w:pPr>
        <w:pStyle w:val="FirstParagraph"/>
      </w:pPr>
      <w:r>
        <w:t xml:space="preserve">For efficiency, the Buyer may place Orders in standard quantities. Minimum: RMS-001: 5 MT; RMS-002: 2 MT; RMS-003: 1 MT; RMS-004: 10 MT. Orders below minimum may be accepted at the Supplier's discretion with possible surcharge. The Buyer may request smaller quantities for trial or urgent needs; the Supplier shall endeavour to accommodate.</w:t>
      </w:r>
    </w:p>
    <w:bookmarkEnd w:id="57"/>
    <w:bookmarkStart w:id="58" w:name="annexure-xii-delivery-window"/>
    <w:p>
      <w:pPr>
        <w:pStyle w:val="Heading2"/>
      </w:pPr>
      <w:r>
        <w:t xml:space="preserve">ANNEXURE XII — DELIVERY WINDOW</w:t>
      </w:r>
    </w:p>
    <w:p>
      <w:pPr>
        <w:pStyle w:val="FirstParagraph"/>
      </w:pPr>
      <w:r>
        <w:t xml:space="preserve">Standard delivery: within 15 days of Order for in-stock items; 21 days for items to be procured. Urgent Orders: The Supplier may expedite at additional cost (transport, overtime). The Buyer shall specify required date on the Order. The Supplier shall confirm or propose alternate. Late delivery: liquidated damages as per Article 5.2. Force majeure: delivery obligations suspended.</w:t>
      </w:r>
    </w:p>
    <w:bookmarkEnd w:id="58"/>
    <w:bookmarkStart w:id="59" w:name="annexure-xiii-payment-disputes"/>
    <w:p>
      <w:pPr>
        <w:pStyle w:val="Heading2"/>
      </w:pPr>
      <w:r>
        <w:t xml:space="preserve">ANNEXURE XIII — PAYMENT DISPUTES</w:t>
      </w:r>
    </w:p>
    <w:p>
      <w:pPr>
        <w:pStyle w:val="FirstParagraph"/>
      </w:pPr>
      <w:r>
        <w:t xml:space="preserve">If the Buyer disputes an invoice, it shall notify within 7 days with details. The Parties shall attempt resolution within 15 days. Undisputed amounts shall be paid on time. If the dispute persists, it may be referred to arbitration. The Buyer shall not withhold payment of undisputed amounts. Interest on late payment of undisputed amounts: 18% per annum.</w:t>
      </w:r>
    </w:p>
    <w:bookmarkEnd w:id="59"/>
    <w:bookmarkStart w:id="60" w:name="annexure-xiv-term-and-renewal"/>
    <w:p>
      <w:pPr>
        <w:pStyle w:val="Heading2"/>
      </w:pPr>
      <w:r>
        <w:t xml:space="preserve">ANNEXURE XIV — TERM AND RENEWAL</w:t>
      </w:r>
    </w:p>
    <w:p>
      <w:pPr>
        <w:pStyle w:val="FirstParagraph"/>
      </w:pPr>
      <w:r>
        <w:t xml:space="preserve">Initial term: 36 months. Upon expiry, the Agreement may be renewed by mutual written agreement. Either Party may propose revised terms for renewal. If no renewal agreement, the Agreement terminates; the Parties shall fulfil outstanding Orders. Termination does not affect rights and obligations with respect to Goods delivered or Orders placed before termination.</w:t>
      </w:r>
    </w:p>
    <w:bookmarkEnd w:id="60"/>
    <w:bookmarkStart w:id="61" w:name="annexure-xv-severability"/>
    <w:p>
      <w:pPr>
        <w:pStyle w:val="Heading2"/>
      </w:pPr>
      <w:r>
        <w:t xml:space="preserve">ANNEXURE XV — SEVERABILITY</w:t>
      </w:r>
    </w:p>
    <w:p>
      <w:pPr>
        <w:pStyle w:val="FirstParagraph"/>
      </w:pPr>
      <w:r>
        <w:t xml:space="preserve">If any provision is held invalid or unenforceable, the remaining provisions shall remain in full force. The invalid provision shall be modified to the minimum extent necessary to make it valid while preserving the Parties' intent. If modification is not possible, the provision shall be severed.</w:t>
      </w:r>
    </w:p>
    <w:bookmarkEnd w:id="61"/>
    <w:bookmarkStart w:id="68" w:name="X56fe31c15e87fbe70c437775f5d56a2989ded74"/>
    <w:p>
      <w:pPr>
        <w:pStyle w:val="Heading2"/>
      </w:pPr>
      <w:r>
        <w:t xml:space="preserve">SUPPLEMENTAL PROVISIONS — INDIAN LEGAL FRAMEWORK</w:t>
      </w:r>
    </w:p>
    <w:bookmarkStart w:id="62" w:name="sp.1-sale-of-goods-act"/>
    <w:p>
      <w:pPr>
        <w:pStyle w:val="Heading3"/>
      </w:pPr>
      <w:r>
        <w:t xml:space="preserve">SP.1 Sale of Goods Act</w:t>
      </w:r>
    </w:p>
    <w:p>
      <w:pPr>
        <w:pStyle w:val="FirstParagraph"/>
      </w:pPr>
      <w:r>
        <w:t xml:space="preserve">This Agreement is subject to the Sale of Goods Act, 1930. The implied conditions and warranties under the Act (where applicable) apply to the extent not excluded. Section 16 (sale by description), Section 17 (sale by sample), and related provisions shall be read with the Specifications and quality provisions herein. The Buyer's right to reject non-conforming Goods is as per the Act and Article 5.3.</w:t>
      </w:r>
    </w:p>
    <w:bookmarkEnd w:id="62"/>
    <w:bookmarkStart w:id="63" w:name="sp.2-indian-contract-act"/>
    <w:p>
      <w:pPr>
        <w:pStyle w:val="Heading3"/>
      </w:pPr>
      <w:r>
        <w:t xml:space="preserve">SP.2 Indian Contract Act</w:t>
      </w:r>
    </w:p>
    <w:p>
      <w:pPr>
        <w:pStyle w:val="FirstParagraph"/>
      </w:pPr>
      <w:r>
        <w:t xml:space="preserve">This Agreement is governed by the Indian Contract Act, 1872. The formation, validity, and performance of this Agreement shall be construed in accordance with the Act. Sections 73 and 74 (damages and liquidated damages) shall apply to the extent of any claim. The Parties acknowledge that the limitation of liability and liquidated damages provisions reflect a genuine pre-estimate of loss where applicable.</w:t>
      </w:r>
    </w:p>
    <w:bookmarkEnd w:id="63"/>
    <w:bookmarkStart w:id="64" w:name="sp.3-force-majeure-detail"/>
    <w:p>
      <w:pPr>
        <w:pStyle w:val="Heading3"/>
      </w:pPr>
      <w:r>
        <w:t xml:space="preserve">SP.3 Force Majeure Detail</w:t>
      </w:r>
    </w:p>
    <w:p>
      <w:pPr>
        <w:pStyle w:val="FirstParagraph"/>
      </w:pPr>
      <w:r>
        <w:t xml:space="preserve">In addition to Article 8, force majeure includes: embargo; change in law affecting supply; mill closure or force majeure at the Supplier's source; railway or port disruption; currency restriction; labour dispute at the Supplier's or mill's premises. The affected Party shall notify within 5 days. Mitigation: use alternate sources, expedite, partial delivery. If force majeure continues for 90 days, either may terminate.</w:t>
      </w:r>
    </w:p>
    <w:bookmarkEnd w:id="64"/>
    <w:bookmarkStart w:id="65" w:name="sp.4-arbitration-detail"/>
    <w:p>
      <w:pPr>
        <w:pStyle w:val="Heading3"/>
      </w:pPr>
      <w:r>
        <w:t xml:space="preserve">SP.4 Arbitration Detail</w:t>
      </w:r>
    </w:p>
    <w:p>
      <w:pPr>
        <w:pStyle w:val="FirstParagraph"/>
      </w:pPr>
      <w:r>
        <w:t xml:space="preserve">The arbitral tribunal shall have power to grant interim relief. The seat of arbitration is Chennai. The arbitration shall be conducted in accordance with the UNCITRAL Rules as modified by the Arbitration and Conciliation Act, 1996. The award shall be in writing and state reasons. The award shall be final and binding. Enforcement may be sought in any court of competent jurisdiction. The tribunal may award costs and interest.</w:t>
      </w:r>
    </w:p>
    <w:bookmarkEnd w:id="65"/>
    <w:bookmarkStart w:id="66" w:name="sp.5-gst-and-tax"/>
    <w:p>
      <w:pPr>
        <w:pStyle w:val="Heading3"/>
      </w:pPr>
      <w:r>
        <w:t xml:space="preserve">SP.5 GST and Tax</w:t>
      </w:r>
    </w:p>
    <w:p>
      <w:pPr>
        <w:pStyle w:val="FirstParagraph"/>
      </w:pPr>
      <w:r>
        <w:t xml:space="preserve">All amounts are exclusive of GST. GST shall be charged at the applicable rate. The Supplier shall issue tax invoice with GSTIN. The Buyer shall pay GST as part of the invoice. For inter-state supply, IGST applies. The Buyer shall provide its GSTIN for input tax credit. TDS: If the Buyer is required to deduct TDS under the Income Tax Act, it shall do so and provide Form 16A. The Supplier shall provide necessary forms (15G/15H if applicable).</w:t>
      </w:r>
    </w:p>
    <w:bookmarkEnd w:id="66"/>
    <w:bookmarkStart w:id="67" w:name="sp.6-limitation"/>
    <w:p>
      <w:pPr>
        <w:pStyle w:val="Heading3"/>
      </w:pPr>
      <w:r>
        <w:t xml:space="preserve">SP.6 Limitation</w:t>
      </w:r>
    </w:p>
    <w:p>
      <w:pPr>
        <w:pStyle w:val="FirstParagraph"/>
      </w:pPr>
      <w:r>
        <w:t xml:space="preserve">Except for claims of fraud or wilful misconduct, no claim may be brought more than twelve (12) months after the date on which the claiming Party knew or ought to have known of the facts giving rise to the claim. For defect claims, the period runs from Delivery or discovery of defect. This limitation is in addition to any period under the Limitation Act, 1963.</w:t>
      </w:r>
    </w:p>
    <w:bookmarkEnd w:id="67"/>
    <w:bookmarkEnd w:id="68"/>
    <w:bookmarkStart w:id="69" w:name="in-witness-whereof"/>
    <w:p>
      <w:pPr>
        <w:pStyle w:val="Heading2"/>
      </w:pPr>
      <w:r>
        <w:t xml:space="preserve">IN WITNESS WHEREOF</w:t>
      </w:r>
    </w:p>
    <w:p>
      <w:pPr>
        <w:pStyle w:val="FirstParagraph"/>
      </w:pPr>
      <w:r>
        <w:t xml:space="preserve">The Parties have executed this Agreement as of the date first written above.</w:t>
      </w:r>
    </w:p>
    <w:p>
      <w:pPr>
        <w:pStyle w:val="BodyText"/>
      </w:pPr>
      <w:r>
        <w:rPr>
          <w:b/>
          <w:bCs/>
        </w:rPr>
        <w:t xml:space="preserve">For Precision Components India Private Limited</w:t>
      </w:r>
      <w:r>
        <w:br/>
      </w:r>
      <w:r>
        <w:t xml:space="preserve">________________________</w:t>
      </w:r>
    </w:p>
    <w:p>
      <w:pPr>
        <w:pStyle w:val="BodyText"/>
      </w:pPr>
      <w:r>
        <w:rPr>
          <w:b/>
          <w:bCs/>
        </w:rPr>
        <w:t xml:space="preserve">For Metallurgical Alloys &amp; Steel Traders Private Limited</w:t>
      </w:r>
      <w:r>
        <w:br/>
      </w:r>
      <w:r>
        <w:t xml:space="preserve">________________________</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Supply Agreement – Raw Materials</dc:title>
  <dc:creator/>
  <dc:language>en</dc:language>
  <cp:keywords/>
  <dcterms:created xsi:type="dcterms:W3CDTF">2026-03-06T17:04:05Z</dcterms:created>
  <dcterms:modified xsi:type="dcterms:W3CDTF">2026-03-06T17:04:05Z</dcterms:modified>
</cp:coreProperties>
</file>

<file path=docProps/custom.xml><?xml version="1.0" encoding="utf-8"?>
<Properties xmlns="http://schemas.openxmlformats.org/officeDocument/2006/custom-properties" xmlns:vt="http://schemas.openxmlformats.org/officeDocument/2006/docPropsVTypes"/>
</file>