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Calibri" w:cs="Calibri" w:eastAsia="Calibri" w:hAnsi="Calibri"/>
          <w:b/>
          <w:bCs/>
          <w:color w:val="1F3864"/>
          <w:sz w:val="56"/>
          <w:szCs w:val="56"/>
        </w:rPr>
        <w:t xml:space="preserve">STARTUP VALIDATION REPORT</w:t>
      </w:r>
    </w:p>
    <w:p>
      <w:pPr>
        <w:spacing w:after="0" w:before="200"/>
        <w:jc w:val="center"/>
      </w:pPr>
      <w:r>
        <w:rPr>
          <w:rFonts w:ascii="Calibri" w:cs="Calibri" w:eastAsia="Calibri" w:hAnsi="Calibri"/>
          <w:b/>
          <w:bCs/>
          <w:color w:val="B08D2B"/>
          <w:sz w:val="40"/>
          <w:szCs w:val="40"/>
        </w:rPr>
        <w:t xml:space="preserve">PrivacyGuard AI</w:t>
      </w:r>
    </w:p>
    <w:p>
      <w:pPr>
        <w:spacing w:after="0" w:before="120"/>
        <w:jc w:val="center"/>
      </w:pPr>
      <w:r>
        <w:rPr>
          <w:rFonts w:ascii="Calibri" w:cs="Calibri" w:eastAsia="Calibri" w:hAnsi="Calibri"/>
          <w:i/>
          <w:iCs/>
          <w:color w:val="262626"/>
          <w:sz w:val="24"/>
          <w:szCs w:val="24"/>
        </w:rPr>
        <w:t xml:space="preserve">AI-Powered Digital Footprint &amp; Privacy Risk Platform</w:t>
      </w:r>
    </w:p>
    <w:p>
      <w:pPr>
        <w:spacing w:before="1000"/>
      </w:pPr>
    </w:p>
    <w:p>
      <w:pPr>
        <w:jc w:val="center"/>
      </w:pPr>
      <w:r>
        <w:rPr>
          <w:rFonts w:ascii="Calibri" w:cs="Calibri" w:eastAsia="Calibri" w:hAnsi="Calibri"/>
          <w:color w:val="262626"/>
          <w:sz w:val="21"/>
          <w:szCs w:val="21"/>
        </w:rPr>
        <w:t xml:space="preserve">Prepared for: Founder / Early-Stage Review</w:t>
      </w:r>
    </w:p>
    <w:p>
      <w:pPr>
        <w:spacing w:before="60"/>
        <w:jc w:val="center"/>
      </w:pPr>
      <w:r>
        <w:rPr>
          <w:rFonts w:ascii="Calibri" w:cs="Calibri" w:eastAsia="Calibri" w:hAnsi="Calibri"/>
          <w:color w:val="262626"/>
          <w:sz w:val="21"/>
          <w:szCs w:val="21"/>
        </w:rPr>
        <w:t xml:space="preserve">Prepared by: Startup Advisory &amp; Market Research Function</w:t>
      </w:r>
    </w:p>
    <w:p>
      <w:pPr>
        <w:spacing w:before="60"/>
        <w:jc w:val="center"/>
      </w:pPr>
      <w:r>
        <w:rPr>
          <w:rFonts w:ascii="Calibri" w:cs="Calibri" w:eastAsia="Calibri" w:hAnsi="Calibri"/>
          <w:color w:val="262626"/>
          <w:sz w:val="21"/>
          <w:szCs w:val="21"/>
        </w:rPr>
        <w:t xml:space="preserve">Date: July 31, 2026</w:t>
      </w:r>
    </w:p>
    <w:p>
      <w:pPr>
        <w:spacing w:after="1200" w:before="60"/>
        <w:jc w:val="center"/>
      </w:pPr>
      <w:r>
        <w:rPr>
          <w:rFonts w:ascii="Calibri" w:cs="Calibri" w:eastAsia="Calibri" w:hAnsi="Calibri"/>
          <w:i/>
          <w:iCs/>
          <w:color w:val="808080"/>
          <w:sz w:val="18"/>
          <w:szCs w:val="18"/>
        </w:rPr>
        <w:t xml:space="preserve">Confidential — Prepared for Internal Founder Use Only</w:t>
      </w:r>
    </w:p>
    <w:p>
      <w:r>
        <w:br w:type="page"/>
      </w:r>
    </w:p>
    <w:p>
      <w:pPr>
        <w:pBdr>
          <w:bottom w:val="single" w:color="B08D2B" w:sz="12" w:space="6"/>
        </w:pBdr>
        <w:spacing w:after="240"/>
      </w:pPr>
      <w:r>
        <w:rPr>
          <w:rFonts w:ascii="Calibri" w:cs="Calibri" w:eastAsia="Calibri" w:hAnsi="Calibri"/>
          <w:b/>
          <w:bCs/>
          <w:color w:val="1F3864"/>
          <w:sz w:val="34"/>
          <w:szCs w:val="34"/>
        </w:rPr>
        <w:t xml:space="preserve">Contents</w:t>
      </w:r>
    </w:p>
    <w:p>
      <w:pPr>
        <w:spacing w:after="110"/>
      </w:pPr>
      <w:r>
        <w:rPr>
          <w:rFonts w:ascii="Calibri" w:cs="Calibri" w:eastAsia="Calibri" w:hAnsi="Calibri"/>
          <w:color w:val="262626"/>
          <w:sz w:val="23"/>
          <w:szCs w:val="23"/>
        </w:rPr>
        <w:t xml:space="preserve">1. Executive Summary</w:t>
      </w:r>
    </w:p>
    <w:p>
      <w:pPr>
        <w:spacing w:after="110"/>
      </w:pPr>
      <w:r>
        <w:rPr>
          <w:rFonts w:ascii="Calibri" w:cs="Calibri" w:eastAsia="Calibri" w:hAnsi="Calibri"/>
          <w:color w:val="262626"/>
          <w:sz w:val="23"/>
          <w:szCs w:val="23"/>
        </w:rPr>
        <w:t xml:space="preserve">2. Problem Validation</w:t>
      </w:r>
    </w:p>
    <w:p>
      <w:pPr>
        <w:spacing w:after="110"/>
      </w:pPr>
      <w:r>
        <w:rPr>
          <w:rFonts w:ascii="Calibri" w:cs="Calibri" w:eastAsia="Calibri" w:hAnsi="Calibri"/>
          <w:color w:val="262626"/>
          <w:sz w:val="23"/>
          <w:szCs w:val="23"/>
        </w:rPr>
        <w:t xml:space="preserve">3. Founder-Market Fit Score</w:t>
      </w:r>
    </w:p>
    <w:p>
      <w:pPr>
        <w:spacing w:after="110"/>
      </w:pPr>
      <w:r>
        <w:rPr>
          <w:rFonts w:ascii="Calibri" w:cs="Calibri" w:eastAsia="Calibri" w:hAnsi="Calibri"/>
          <w:color w:val="262626"/>
          <w:sz w:val="23"/>
          <w:szCs w:val="23"/>
        </w:rPr>
        <w:t xml:space="preserve">4. TAM / SAM / SOM Analysis</w:t>
      </w:r>
    </w:p>
    <w:p>
      <w:pPr>
        <w:spacing w:after="110"/>
      </w:pPr>
      <w:r>
        <w:rPr>
          <w:rFonts w:ascii="Calibri" w:cs="Calibri" w:eastAsia="Calibri" w:hAnsi="Calibri"/>
          <w:color w:val="262626"/>
          <w:sz w:val="23"/>
          <w:szCs w:val="23"/>
        </w:rPr>
        <w:t xml:space="preserve">5. Competitor Analysis</w:t>
      </w:r>
    </w:p>
    <w:p>
      <w:pPr>
        <w:spacing w:after="110"/>
      </w:pPr>
      <w:r>
        <w:rPr>
          <w:rFonts w:ascii="Calibri" w:cs="Calibri" w:eastAsia="Calibri" w:hAnsi="Calibri"/>
          <w:color w:val="262626"/>
          <w:sz w:val="23"/>
          <w:szCs w:val="23"/>
        </w:rPr>
        <w:t xml:space="preserve">6. Market Gap Analysis</w:t>
      </w:r>
    </w:p>
    <w:p>
      <w:pPr>
        <w:spacing w:after="110"/>
      </w:pPr>
      <w:r>
        <w:rPr>
          <w:rFonts w:ascii="Calibri" w:cs="Calibri" w:eastAsia="Calibri" w:hAnsi="Calibri"/>
          <w:color w:val="262626"/>
          <w:sz w:val="23"/>
          <w:szCs w:val="23"/>
        </w:rPr>
        <w:t xml:space="preserve">7. Ideal Customer Profile (ICP)</w:t>
      </w:r>
    </w:p>
    <w:p>
      <w:pPr>
        <w:spacing w:after="110"/>
      </w:pPr>
      <w:r>
        <w:rPr>
          <w:rFonts w:ascii="Calibri" w:cs="Calibri" w:eastAsia="Calibri" w:hAnsi="Calibri"/>
          <w:color w:val="262626"/>
          <w:sz w:val="23"/>
          <w:szCs w:val="23"/>
        </w:rPr>
        <w:t xml:space="preserve">8. Buyer Persona</w:t>
      </w:r>
    </w:p>
    <w:p>
      <w:pPr>
        <w:spacing w:after="110"/>
      </w:pPr>
      <w:r>
        <w:rPr>
          <w:rFonts w:ascii="Calibri" w:cs="Calibri" w:eastAsia="Calibri" w:hAnsi="Calibri"/>
          <w:color w:val="262626"/>
          <w:sz w:val="23"/>
          <w:szCs w:val="23"/>
        </w:rPr>
        <w:t xml:space="preserve">9. Customer Pain Points</w:t>
      </w:r>
    </w:p>
    <w:p>
      <w:pPr>
        <w:spacing w:after="110"/>
      </w:pPr>
      <w:r>
        <w:rPr>
          <w:rFonts w:ascii="Calibri" w:cs="Calibri" w:eastAsia="Calibri" w:hAnsi="Calibri"/>
          <w:color w:val="262626"/>
          <w:sz w:val="23"/>
          <w:szCs w:val="23"/>
        </w:rPr>
        <w:t xml:space="preserve">10. Buying Triggers &amp; Objections</w:t>
      </w:r>
    </w:p>
    <w:p>
      <w:pPr>
        <w:spacing w:after="110"/>
      </w:pPr>
      <w:r>
        <w:rPr>
          <w:rFonts w:ascii="Calibri" w:cs="Calibri" w:eastAsia="Calibri" w:hAnsi="Calibri"/>
          <w:color w:val="262626"/>
          <w:sz w:val="23"/>
          <w:szCs w:val="23"/>
        </w:rPr>
        <w:t xml:space="preserve">11. Customer Journey</w:t>
      </w:r>
    </w:p>
    <w:p>
      <w:pPr>
        <w:spacing w:after="110"/>
      </w:pPr>
      <w:r>
        <w:rPr>
          <w:rFonts w:ascii="Calibri" w:cs="Calibri" w:eastAsia="Calibri" w:hAnsi="Calibri"/>
          <w:color w:val="262626"/>
          <w:sz w:val="23"/>
          <w:szCs w:val="23"/>
        </w:rPr>
        <w:t xml:space="preserve">12. Risk Assessment</w:t>
      </w:r>
    </w:p>
    <w:p>
      <w:pPr>
        <w:spacing w:after="110"/>
      </w:pPr>
      <w:r>
        <w:rPr>
          <w:rFonts w:ascii="Calibri" w:cs="Calibri" w:eastAsia="Calibri" w:hAnsi="Calibri"/>
          <w:color w:val="262626"/>
          <w:sz w:val="23"/>
          <w:szCs w:val="23"/>
        </w:rPr>
        <w:t xml:space="preserve">13. Pivot Opportunities</w:t>
      </w:r>
    </w:p>
    <w:p>
      <w:pPr>
        <w:spacing w:after="110"/>
      </w:pPr>
      <w:r>
        <w:rPr>
          <w:rFonts w:ascii="Calibri" w:cs="Calibri" w:eastAsia="Calibri" w:hAnsi="Calibri"/>
          <w:color w:val="262626"/>
          <w:sz w:val="23"/>
          <w:szCs w:val="23"/>
        </w:rPr>
        <w:t xml:space="preserve">14. Go / No-Go Recommendation</w:t>
      </w:r>
    </w:p>
    <w:p>
      <w:pPr>
        <w:spacing w:after="110"/>
      </w:pPr>
      <w:r>
        <w:rPr>
          <w:rFonts w:ascii="Calibri" w:cs="Calibri" w:eastAsia="Calibri" w:hAnsi="Calibri"/>
          <w:color w:val="262626"/>
          <w:sz w:val="23"/>
          <w:szCs w:val="23"/>
        </w:rPr>
        <w:t xml:space="preserve">15. 30-Day Action Plan</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 Executive Summary</w:t>
      </w:r>
    </w:p>
    <w:p>
      <w:pPr>
        <w:spacing w:after="160" w:line="276"/>
      </w:pPr>
      <w:r>
        <w:rPr>
          <w:rFonts w:ascii="Calibri" w:cs="Calibri" w:eastAsia="Calibri" w:hAnsi="Calibri"/>
          <w:b w:val="false"/>
          <w:bCs w:val="false"/>
          <w:i w:val="false"/>
          <w:iCs w:val="false"/>
          <w:color w:val="262626"/>
          <w:sz w:val="21"/>
          <w:szCs w:val="21"/>
        </w:rPr>
        <w:t xml:space="preserve">PrivacyGuard AI is an early-stage concept for an AI-powered platform that helps everyday internet users understand their digital footprint, data-sharing exposure, and privacy risk — then delivers personalized, plain-language recommendations to reduce that risk. The founder is an IT student with genuine domain interest in AI, cybersecurity, and web development, targeting India as the launch market ahead of expansion into the US, Canada, UK, Australia, and Europe.</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100"/>
      </w:tblGrid>
      <w:tr>
        <w:tc>
          <w:tcPr>
            <w:tcW w:type="dxa" w:w="9360"/>
            <w:shd w:fill="F2F2F2" w:color="auto" w:val="clear"/>
            <w:tcMar>
              <w:top w:type="dxa" w:w="160"/>
              <w:left w:type="dxa" w:w="200"/>
              <w:bottom w:type="dxa" w:w="160"/>
              <w:right w:type="dxa" w:w="200"/>
            </w:tcMar>
          </w:tcPr>
          <w:p>
            <w:pPr>
              <w:spacing w:after="60"/>
            </w:pPr>
            <w:r>
              <w:rPr>
                <w:rFonts w:ascii="Calibri" w:cs="Calibri" w:eastAsia="Calibri" w:hAnsi="Calibri"/>
                <w:b/>
                <w:bCs/>
                <w:color w:val="1F3864"/>
                <w:sz w:val="19"/>
                <w:szCs w:val="19"/>
              </w:rPr>
              <w:t xml:space="preserve">BOTTOM LINE</w:t>
            </w:r>
          </w:p>
          <w:p>
            <w:r>
              <w:rPr>
                <w:rFonts w:ascii="Calibri" w:cs="Calibri" w:eastAsia="Calibri" w:hAnsi="Calibri"/>
                <w:color w:val="262626"/>
                <w:sz w:val="21"/>
                <w:szCs w:val="21"/>
              </w:rPr>
              <w:t xml:space="preserve">The problem is real, growing, and under-served for everyday consumers — but the idea is still at the concept-validation stage. No interviews, landing page, or paying users exist yet. This report is a structured diagnostic to convert informal validation into evidence before committing to a full MVP build.</w:t>
            </w:r>
          </w:p>
        </w:tc>
      </w:tr>
    </w:tbl>
    <w:p>
      <w:pPr>
        <w:spacing w:after="120"/>
      </w:pPr>
    </w:p>
    <w:p>
      <w:pPr>
        <w:spacing w:after="100" w:before="200"/>
      </w:pPr>
      <w:r>
        <w:rPr>
          <w:rFonts w:ascii="Calibri" w:cs="Calibri" w:eastAsia="Calibri" w:hAnsi="Calibri"/>
          <w:b/>
          <w:bCs/>
          <w:color w:val="142544"/>
          <w:sz w:val="22"/>
          <w:szCs w:val="22"/>
        </w:rPr>
        <w:t xml:space="preserve">Key Findings at a Glance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160"/>
      </w:tblGrid>
      <w:tr>
        <w:trPr>
          <w:tblHeader/>
        </w:trPr>
        <w:tc>
          <w:tcPr>
            <w:tcW w:type="dxa" w:w="32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Dimension</w:t>
            </w:r>
          </w:p>
        </w:tc>
        <w:tc>
          <w:tcPr>
            <w:tcW w:type="dxa" w:w="61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Finding</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Problem clarity</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High — privacy exposure is a widely-felt, poorly-understood problem for average users</w:t>
            </w:r>
          </w:p>
        </w:tc>
      </w:tr>
      <w:tr>
        <w:tc>
          <w:tcPr>
            <w:tcW w:type="dxa" w:w="3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Market timing</w:t>
            </w:r>
          </w:p>
        </w:tc>
        <w:tc>
          <w:tcPr>
            <w:tcW w:type="dxa" w:w="6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Favorable — India's DPDP Act 2023 and rising breach awareness are increasing consumer attention</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Competitive intensity</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Moderate globally, low in India — no dominant India-first consumer privacy brand exists</w:t>
            </w:r>
          </w:p>
        </w:tc>
      </w:tr>
      <w:tr>
        <w:tc>
          <w:tcPr>
            <w:tcW w:type="dxa" w:w="3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Founder-market fit</w:t>
            </w:r>
          </w:p>
        </w:tc>
        <w:tc>
          <w:tcPr>
            <w:tcW w:type="dxa" w:w="6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Moderate (5.7/10) — genuine passion and technical interest, but no built product or network yet</w:t>
            </w:r>
          </w:p>
        </w:tc>
      </w:tr>
      <w:tr>
        <w:tc>
          <w:tcPr>
            <w:tcW w:type="dxa" w:w="3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Monetization risk</w:t>
            </w:r>
          </w:p>
        </w:tc>
        <w:tc>
          <w:tcPr>
            <w:tcW w:type="dxa" w:w="6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High — Indian consumers have historically low willingness to pay for privacy/security software</w:t>
            </w:r>
          </w:p>
        </w:tc>
      </w:tr>
      <w:tr>
        <w:tc>
          <w:tcPr>
            <w:tcW w:type="dxa" w:w="3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Overall verdict</w:t>
            </w:r>
          </w:p>
        </w:tc>
        <w:tc>
          <w:tcPr>
            <w:tcW w:type="dxa" w:w="6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Conditional GO — proceed to structured validation before MVP investment</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2. Problem Validation</w:t>
      </w:r>
    </w:p>
    <w:p>
      <w:pPr>
        <w:spacing w:after="100" w:before="200"/>
      </w:pPr>
      <w:r>
        <w:rPr>
          <w:rFonts w:ascii="Calibri" w:cs="Calibri" w:eastAsia="Calibri" w:hAnsi="Calibri"/>
          <w:b/>
          <w:bCs/>
          <w:color w:val="142544"/>
          <w:sz w:val="22"/>
          <w:szCs w:val="22"/>
        </w:rPr>
        <w:t xml:space="preserve">Stated Problem</w:t>
      </w:r>
    </w:p>
    <w:p>
      <w:pPr>
        <w:spacing w:after="160" w:line="276"/>
      </w:pPr>
      <w:r>
        <w:rPr>
          <w:rFonts w:ascii="Calibri" w:cs="Calibri" w:eastAsia="Calibri" w:hAnsi="Calibri"/>
          <w:b w:val="false"/>
          <w:bCs w:val="false"/>
          <w:i w:val="false"/>
          <w:iCs w:val="false"/>
          <w:color w:val="262626"/>
          <w:sz w:val="21"/>
          <w:szCs w:val="21"/>
        </w:rPr>
        <w:t xml:space="preserve">Most internet users unknowingly share large amounts of personal data with apps and websites. They do not understand which services collect their information, how risky their digital behavior is, or how to protect themselves — and existing privacy tools are either too technical or too limited for the average user.</w:t>
      </w:r>
    </w:p>
    <w:p>
      <w:pPr>
        <w:spacing w:after="100" w:before="200"/>
      </w:pPr>
      <w:r>
        <w:rPr>
          <w:rFonts w:ascii="Calibri" w:cs="Calibri" w:eastAsia="Calibri" w:hAnsi="Calibri"/>
          <w:b/>
          <w:bCs/>
          <w:color w:val="142544"/>
          <w:sz w:val="22"/>
          <w:szCs w:val="22"/>
        </w:rPr>
        <w:t xml:space="preserve">Signal Strength</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400"/>
        <w:gridCol w:w="2000"/>
        <w:gridCol w:w="2960"/>
      </w:tblGrid>
      <w:tr>
        <w:trPr>
          <w:tblHeader/>
        </w:trPr>
        <w:tc>
          <w:tcPr>
            <w:tcW w:type="dxa" w:w="44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Validation Signal</w:t>
            </w:r>
          </w:p>
        </w:tc>
        <w:tc>
          <w:tcPr>
            <w:tcW w:type="dxa" w:w="20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c>
          <w:tcPr>
            <w:tcW w:type="dxa" w:w="29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4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Anecdotal peer feedback</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b w:val="false"/>
                <w:bCs w:val="false"/>
                <w:color w:val="B7791F"/>
                <w:sz w:val="19"/>
                <w:szCs w:val="19"/>
              </w:rPr>
              <w:t xml:space="preserve">Present</w:t>
            </w:r>
          </w:p>
        </w:tc>
        <w:tc>
          <w:tcPr>
            <w:tcW w:type="dxa" w:w="29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Classmates/friends confirmed the awareness gap informally</w:t>
            </w:r>
          </w:p>
        </w:tc>
      </w:tr>
      <w:tr>
        <w:tc>
          <w:tcPr>
            <w:tcW w:type="dxa" w:w="4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Structured user interviews (10-20+)</w:t>
            </w:r>
          </w:p>
        </w:tc>
        <w:tc>
          <w:tcPr>
            <w:tcW w:type="dxa" w:w="2000"/>
            <w:shd w:fill="F2F2F2"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Not yet done</w:t>
            </w:r>
          </w:p>
        </w:tc>
        <w:tc>
          <w:tcPr>
            <w:tcW w:type="dxa" w:w="29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Highest-priority next step</w:t>
            </w:r>
          </w:p>
        </w:tc>
      </w:tr>
      <w:tr>
        <w:tc>
          <w:tcPr>
            <w:tcW w:type="dxa" w:w="4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Landing page / waitlist</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Not yet built</w:t>
            </w:r>
          </w:p>
        </w:tc>
        <w:tc>
          <w:tcPr>
            <w:tcW w:type="dxa" w:w="29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No demand signal captured yet</w:t>
            </w:r>
          </w:p>
        </w:tc>
      </w:tr>
      <w:tr>
        <w:tc>
          <w:tcPr>
            <w:tcW w:type="dxa" w:w="4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Competitor existence &amp; scale</w:t>
            </w:r>
          </w:p>
        </w:tc>
        <w:tc>
          <w:tcPr>
            <w:tcW w:type="dxa" w:w="2000"/>
            <w:shd w:fill="F2F2F2" w:color="auto" w:val="clear"/>
            <w:tcMar>
              <w:top w:type="dxa" w:w="90"/>
              <w:left w:type="dxa" w:w="120"/>
              <w:bottom w:type="dxa" w:w="90"/>
              <w:right w:type="dxa" w:w="120"/>
            </w:tcMar>
            <w:vAlign w:val="center"/>
          </w:tcPr>
          <w:p>
            <w:r>
              <w:rPr>
                <w:rFonts w:ascii="Calibri" w:cs="Calibri" w:eastAsia="Calibri" w:hAnsi="Calibri"/>
                <w:b w:val="false"/>
                <w:bCs w:val="false"/>
                <w:color w:val="2E7D32"/>
                <w:sz w:val="19"/>
                <w:szCs w:val="19"/>
              </w:rPr>
              <w:t xml:space="preserve">Confirmed</w:t>
            </w:r>
          </w:p>
        </w:tc>
        <w:tc>
          <w:tcPr>
            <w:tcW w:type="dxa" w:w="29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DeleteMe, Incogni, Aura prove paid demand exists in mature markets</w:t>
            </w:r>
          </w:p>
        </w:tc>
      </w:tr>
      <w:tr>
        <w:tc>
          <w:tcPr>
            <w:tcW w:type="dxa" w:w="4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Regulatory tailwind (India)</w:t>
            </w:r>
          </w:p>
        </w:tc>
        <w:tc>
          <w:tcPr>
            <w:tcW w:type="dxa" w:w="2000"/>
            <w:shd w:fill="FFFFFF" w:color="auto" w:val="clear"/>
            <w:tcMar>
              <w:top w:type="dxa" w:w="90"/>
              <w:left w:type="dxa" w:w="120"/>
              <w:bottom w:type="dxa" w:w="90"/>
              <w:right w:type="dxa" w:w="120"/>
            </w:tcMar>
            <w:vAlign w:val="center"/>
          </w:tcPr>
          <w:p>
            <w:r>
              <w:rPr>
                <w:rFonts w:ascii="Calibri" w:cs="Calibri" w:eastAsia="Calibri" w:hAnsi="Calibri"/>
                <w:b w:val="false"/>
                <w:bCs w:val="false"/>
                <w:color w:val="2E7D32"/>
                <w:sz w:val="19"/>
                <w:szCs w:val="19"/>
              </w:rPr>
              <w:t xml:space="preserve">Confirmed</w:t>
            </w:r>
          </w:p>
        </w:tc>
        <w:tc>
          <w:tcPr>
            <w:tcW w:type="dxa" w:w="29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Digital Personal Data Protection Act (DPDP) 2023 is raising national privacy awareness</w:t>
            </w:r>
          </w:p>
        </w:tc>
      </w:tr>
      <w:tr>
        <w:tc>
          <w:tcPr>
            <w:tcW w:type="dxa" w:w="4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Willingness to pay (India)</w:t>
            </w:r>
          </w:p>
        </w:tc>
        <w:tc>
          <w:tcPr>
            <w:tcW w:type="dxa" w:w="2000"/>
            <w:shd w:fill="F2F2F2"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Unverified</w:t>
            </w:r>
          </w:p>
        </w:tc>
        <w:tc>
          <w:tcPr>
            <w:tcW w:type="dxa" w:w="29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Not yet tested; historically a weak spot for consumer security apps in India</w:t>
            </w:r>
          </w:p>
        </w:tc>
      </w:tr>
    </w:tbl>
    <w:p>
      <w:pPr>
        <w:spacing w:after="100"/>
      </w:pPr>
    </w:p>
    <w:p>
      <w:pPr>
        <w:spacing w:after="160" w:line="276"/>
      </w:pPr>
      <w:r>
        <w:rPr>
          <w:rFonts w:ascii="Calibri" w:cs="Calibri" w:eastAsia="Calibri" w:hAnsi="Calibri"/>
          <w:b w:val="false"/>
          <w:bCs w:val="false"/>
          <w:i/>
          <w:iCs/>
          <w:color w:val="262626"/>
          <w:sz w:val="21"/>
          <w:szCs w:val="21"/>
        </w:rPr>
        <w:t xml:space="preserve">Verdict: The problem is directionally validated by market precedent (mature-market competitors monetizing the same pain) and by macro trends (rising breach frequency, new Indian data-protection law), but it is not yet validated at the level of your specific target user. Treat the current stage as a hypothesis, not a confirmed problem-solution fit.</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3. Founder-Market Fit Score</w:t>
      </w:r>
    </w:p>
    <w:p>
      <w:pPr>
        <w:spacing w:after="160" w:line="276"/>
      </w:pPr>
      <w:r>
        <w:rPr>
          <w:rFonts w:ascii="Calibri" w:cs="Calibri" w:eastAsia="Calibri" w:hAnsi="Calibri"/>
          <w:b w:val="false"/>
          <w:bCs w:val="false"/>
          <w:i w:val="false"/>
          <w:iCs w:val="false"/>
          <w:color w:val="262626"/>
          <w:sz w:val="21"/>
          <w:szCs w:val="21"/>
        </w:rPr>
        <w:t xml:space="preserve">Scored against five weighted factors that matter most for a solo, early-career founder entering a trust-sensitive, technically demanding category.</w:t>
      </w:r>
    </w:p>
    <w:p>
      <w:pPr>
        <w:spacing w:after="80"/>
      </w:pPr>
    </w:p>
    <w:tbl>
      <w:tblPr>
        <w:tblW w:type="dxa" w:w="9360"/>
        <w:tblBorders>
          <w:top w:val="none"/>
          <w:left w:val="none"/>
          <w:bottom w:val="none"/>
          <w:right w:val="none"/>
          <w:insideH w:val="none"/>
          <w:insideV w:val="none"/>
        </w:tblBorders>
      </w:tblPr>
      <w:tblGrid>
        <w:gridCol w:w="100"/>
        <w:gridCol w:w="100"/>
        <w:gridCol w:w="100"/>
      </w:tblGrid>
      <w:tr>
        <w:tc>
          <w:tcPr>
            <w:tcW w:type="dxa" w:w="3200"/>
          </w:tcPr>
          <w:p>
            <w:r>
              <w:rPr>
                <w:rFonts w:ascii="Calibri" w:cs="Calibri" w:eastAsia="Calibri" w:hAnsi="Calibri"/>
                <w:color w:val="262626"/>
                <w:sz w:val="20"/>
                <w:szCs w:val="20"/>
              </w:rPr>
              <w:t xml:space="preserve">Passion &amp; long-term commitment</w:t>
            </w:r>
          </w:p>
        </w:tc>
        <w:tc>
          <w:tcPr>
            <w:tcW w:type="dxa" w:w="4960"/>
            <w:shd w:fill="FFFFFF" w:color="auto" w:val="clear"/>
          </w:tcPr>
          <w:tbl>
            <w:tblPr>
              <w:tblW w:type="dxa" w:w="4960"/>
              <w:tblBorders>
                <w:top w:val="single" w:color="FFFFFF" w:sz="2"/>
                <w:left w:val="single" w:color="FFFFFF" w:sz="2"/>
                <w:bottom w:val="single" w:color="FFFFFF" w:sz="2"/>
                <w:right w:val="single" w:color="FFFFFF" w:sz="2"/>
                <w:insideH w:val="single" w:color="FFFFFF" w:sz="2"/>
                <w:insideV w:val="single" w:color="FFFFFF" w:sz="2"/>
              </w:tblBorders>
            </w:tblPr>
            <w:tblGrid>
              <w:gridCol w:w="4464"/>
              <w:gridCol w:w="496"/>
            </w:tblGrid>
            <w:tr>
              <w:tc>
                <w:tcPr>
                  <w:tcW w:type="dxa" w:w="4464"/>
                  <w:shd w:fill="2E7D32" w:color="auto" w:val="clear"/>
                </w:tcPr>
                <w:p/>
              </w:tc>
              <w:tc>
                <w:tcPr>
                  <w:tcW w:type="dxa" w:w="496"/>
                  <w:shd w:fill="F2F2F2" w:color="auto" w:val="clear"/>
                </w:tcPr>
                <w:p/>
              </w:tc>
            </w:tr>
          </w:tbl>
          <w:p/>
        </w:tc>
        <w:tc>
          <w:tcPr>
            <w:tcW w:type="dxa" w:w="1200"/>
          </w:tcPr>
          <w:p>
            <w:pPr>
              <w:jc w:val="right"/>
            </w:pPr>
            <w:r>
              <w:rPr>
                <w:rFonts w:ascii="Calibri" w:cs="Calibri" w:eastAsia="Calibri" w:hAnsi="Calibri"/>
                <w:b/>
                <w:bCs/>
                <w:color w:val="2E7D32"/>
                <w:sz w:val="20"/>
                <w:szCs w:val="20"/>
              </w:rPr>
              <w:t xml:space="preserve">9/10</w:t>
            </w:r>
          </w:p>
        </w:tc>
      </w:tr>
    </w:tbl>
    <w:p>
      <w:pPr>
        <w:spacing w:after="60"/>
      </w:pPr>
    </w:p>
    <w:tbl>
      <w:tblPr>
        <w:tblW w:type="dxa" w:w="9360"/>
        <w:tblBorders>
          <w:top w:val="none"/>
          <w:left w:val="none"/>
          <w:bottom w:val="none"/>
          <w:right w:val="none"/>
          <w:insideH w:val="none"/>
          <w:insideV w:val="none"/>
        </w:tblBorders>
      </w:tblPr>
      <w:tblGrid>
        <w:gridCol w:w="100"/>
        <w:gridCol w:w="100"/>
        <w:gridCol w:w="100"/>
      </w:tblGrid>
      <w:tr>
        <w:tc>
          <w:tcPr>
            <w:tcW w:type="dxa" w:w="3200"/>
          </w:tcPr>
          <w:p>
            <w:r>
              <w:rPr>
                <w:rFonts w:ascii="Calibri" w:cs="Calibri" w:eastAsia="Calibri" w:hAnsi="Calibri"/>
                <w:color w:val="262626"/>
                <w:sz w:val="20"/>
                <w:szCs w:val="20"/>
              </w:rPr>
              <w:t xml:space="preserve">Domain knowledge (AI / cybersecurity / web)</w:t>
            </w:r>
          </w:p>
        </w:tc>
        <w:tc>
          <w:tcPr>
            <w:tcW w:type="dxa" w:w="4960"/>
            <w:shd w:fill="FFFFFF" w:color="auto" w:val="clear"/>
          </w:tcPr>
          <w:tbl>
            <w:tblPr>
              <w:tblW w:type="dxa" w:w="4960"/>
              <w:tblBorders>
                <w:top w:val="single" w:color="FFFFFF" w:sz="2"/>
                <w:left w:val="single" w:color="FFFFFF" w:sz="2"/>
                <w:bottom w:val="single" w:color="FFFFFF" w:sz="2"/>
                <w:right w:val="single" w:color="FFFFFF" w:sz="2"/>
                <w:insideH w:val="single" w:color="FFFFFF" w:sz="2"/>
                <w:insideV w:val="single" w:color="FFFFFF" w:sz="2"/>
              </w:tblBorders>
            </w:tblPr>
            <w:tblGrid>
              <w:gridCol w:w="3472"/>
              <w:gridCol w:w="1488"/>
            </w:tblGrid>
            <w:tr>
              <w:tc>
                <w:tcPr>
                  <w:tcW w:type="dxa" w:w="3472"/>
                  <w:shd w:fill="B7791F" w:color="auto" w:val="clear"/>
                </w:tcPr>
                <w:p/>
              </w:tc>
              <w:tc>
                <w:tcPr>
                  <w:tcW w:type="dxa" w:w="1488"/>
                  <w:shd w:fill="F2F2F2" w:color="auto" w:val="clear"/>
                </w:tcPr>
                <w:p/>
              </w:tc>
            </w:tr>
          </w:tbl>
          <w:p/>
        </w:tc>
        <w:tc>
          <w:tcPr>
            <w:tcW w:type="dxa" w:w="1200"/>
          </w:tcPr>
          <w:p>
            <w:pPr>
              <w:jc w:val="right"/>
            </w:pPr>
            <w:r>
              <w:rPr>
                <w:rFonts w:ascii="Calibri" w:cs="Calibri" w:eastAsia="Calibri" w:hAnsi="Calibri"/>
                <w:b/>
                <w:bCs/>
                <w:color w:val="B7791F"/>
                <w:sz w:val="20"/>
                <w:szCs w:val="20"/>
              </w:rPr>
              <w:t xml:space="preserve">7/10</w:t>
            </w:r>
          </w:p>
        </w:tc>
      </w:tr>
    </w:tbl>
    <w:p>
      <w:pPr>
        <w:spacing w:after="60"/>
      </w:pPr>
    </w:p>
    <w:tbl>
      <w:tblPr>
        <w:tblW w:type="dxa" w:w="9360"/>
        <w:tblBorders>
          <w:top w:val="none"/>
          <w:left w:val="none"/>
          <w:bottom w:val="none"/>
          <w:right w:val="none"/>
          <w:insideH w:val="none"/>
          <w:insideV w:val="none"/>
        </w:tblBorders>
      </w:tblPr>
      <w:tblGrid>
        <w:gridCol w:w="100"/>
        <w:gridCol w:w="100"/>
        <w:gridCol w:w="100"/>
      </w:tblGrid>
      <w:tr>
        <w:tc>
          <w:tcPr>
            <w:tcW w:type="dxa" w:w="3200"/>
          </w:tcPr>
          <w:p>
            <w:r>
              <w:rPr>
                <w:rFonts w:ascii="Calibri" w:cs="Calibri" w:eastAsia="Calibri" w:hAnsi="Calibri"/>
                <w:color w:val="262626"/>
                <w:sz w:val="20"/>
                <w:szCs w:val="20"/>
              </w:rPr>
              <w:t xml:space="preserve">Technical ability to ship an MVP</w:t>
            </w:r>
          </w:p>
        </w:tc>
        <w:tc>
          <w:tcPr>
            <w:tcW w:type="dxa" w:w="4960"/>
            <w:shd w:fill="FFFFFF" w:color="auto" w:val="clear"/>
          </w:tcPr>
          <w:tbl>
            <w:tblPr>
              <w:tblW w:type="dxa" w:w="4960"/>
              <w:tblBorders>
                <w:top w:val="single" w:color="FFFFFF" w:sz="2"/>
                <w:left w:val="single" w:color="FFFFFF" w:sz="2"/>
                <w:bottom w:val="single" w:color="FFFFFF" w:sz="2"/>
                <w:right w:val="single" w:color="FFFFFF" w:sz="2"/>
                <w:insideH w:val="single" w:color="FFFFFF" w:sz="2"/>
                <w:insideV w:val="single" w:color="FFFFFF" w:sz="2"/>
              </w:tblBorders>
            </w:tblPr>
            <w:tblGrid>
              <w:gridCol w:w="2976"/>
              <w:gridCol w:w="1984"/>
            </w:tblGrid>
            <w:tr>
              <w:tc>
                <w:tcPr>
                  <w:tcW w:type="dxa" w:w="2976"/>
                  <w:shd w:fill="B7791F" w:color="auto" w:val="clear"/>
                </w:tcPr>
                <w:p/>
              </w:tc>
              <w:tc>
                <w:tcPr>
                  <w:tcW w:type="dxa" w:w="1984"/>
                  <w:shd w:fill="F2F2F2" w:color="auto" w:val="clear"/>
                </w:tcPr>
                <w:p/>
              </w:tc>
            </w:tr>
          </w:tbl>
          <w:p/>
        </w:tc>
        <w:tc>
          <w:tcPr>
            <w:tcW w:type="dxa" w:w="1200"/>
          </w:tcPr>
          <w:p>
            <w:pPr>
              <w:jc w:val="right"/>
            </w:pPr>
            <w:r>
              <w:rPr>
                <w:rFonts w:ascii="Calibri" w:cs="Calibri" w:eastAsia="Calibri" w:hAnsi="Calibri"/>
                <w:b/>
                <w:bCs/>
                <w:color w:val="B7791F"/>
                <w:sz w:val="20"/>
                <w:szCs w:val="20"/>
              </w:rPr>
              <w:t xml:space="preserve">6/10</w:t>
            </w:r>
          </w:p>
        </w:tc>
      </w:tr>
    </w:tbl>
    <w:p>
      <w:pPr>
        <w:spacing w:after="60"/>
      </w:pPr>
    </w:p>
    <w:tbl>
      <w:tblPr>
        <w:tblW w:type="dxa" w:w="9360"/>
        <w:tblBorders>
          <w:top w:val="none"/>
          <w:left w:val="none"/>
          <w:bottom w:val="none"/>
          <w:right w:val="none"/>
          <w:insideH w:val="none"/>
          <w:insideV w:val="none"/>
        </w:tblBorders>
      </w:tblPr>
      <w:tblGrid>
        <w:gridCol w:w="100"/>
        <w:gridCol w:w="100"/>
        <w:gridCol w:w="100"/>
      </w:tblGrid>
      <w:tr>
        <w:tc>
          <w:tcPr>
            <w:tcW w:type="dxa" w:w="3200"/>
          </w:tcPr>
          <w:p>
            <w:r>
              <w:rPr>
                <w:rFonts w:ascii="Calibri" w:cs="Calibri" w:eastAsia="Calibri" w:hAnsi="Calibri"/>
                <w:color w:val="262626"/>
                <w:sz w:val="20"/>
                <w:szCs w:val="20"/>
              </w:rPr>
              <w:t xml:space="preserve">Credibility / trust signal in privacy category</w:t>
            </w:r>
          </w:p>
        </w:tc>
        <w:tc>
          <w:tcPr>
            <w:tcW w:type="dxa" w:w="4960"/>
            <w:shd w:fill="FFFFFF" w:color="auto" w:val="clear"/>
          </w:tcPr>
          <w:tbl>
            <w:tblPr>
              <w:tblW w:type="dxa" w:w="4960"/>
              <w:tblBorders>
                <w:top w:val="single" w:color="FFFFFF" w:sz="2"/>
                <w:left w:val="single" w:color="FFFFFF" w:sz="2"/>
                <w:bottom w:val="single" w:color="FFFFFF" w:sz="2"/>
                <w:right w:val="single" w:color="FFFFFF" w:sz="2"/>
                <w:insideH w:val="single" w:color="FFFFFF" w:sz="2"/>
                <w:insideV w:val="single" w:color="FFFFFF" w:sz="2"/>
              </w:tblBorders>
            </w:tblPr>
            <w:tblGrid>
              <w:gridCol w:w="2480"/>
              <w:gridCol w:w="2480"/>
            </w:tblGrid>
            <w:tr>
              <w:tc>
                <w:tcPr>
                  <w:tcW w:type="dxa" w:w="2480"/>
                  <w:shd w:fill="B7791F" w:color="auto" w:val="clear"/>
                </w:tcPr>
                <w:p/>
              </w:tc>
              <w:tc>
                <w:tcPr>
                  <w:tcW w:type="dxa" w:w="2480"/>
                  <w:shd w:fill="F2F2F2" w:color="auto" w:val="clear"/>
                </w:tcPr>
                <w:p/>
              </w:tc>
            </w:tr>
          </w:tbl>
          <w:p/>
        </w:tc>
        <w:tc>
          <w:tcPr>
            <w:tcW w:type="dxa" w:w="1200"/>
          </w:tcPr>
          <w:p>
            <w:pPr>
              <w:jc w:val="right"/>
            </w:pPr>
            <w:r>
              <w:rPr>
                <w:rFonts w:ascii="Calibri" w:cs="Calibri" w:eastAsia="Calibri" w:hAnsi="Calibri"/>
                <w:b/>
                <w:bCs/>
                <w:color w:val="B7791F"/>
                <w:sz w:val="20"/>
                <w:szCs w:val="20"/>
              </w:rPr>
              <w:t xml:space="preserve">5/10</w:t>
            </w:r>
          </w:p>
        </w:tc>
      </w:tr>
    </w:tbl>
    <w:p>
      <w:pPr>
        <w:spacing w:after="60"/>
      </w:pPr>
    </w:p>
    <w:tbl>
      <w:tblPr>
        <w:tblW w:type="dxa" w:w="9360"/>
        <w:tblBorders>
          <w:top w:val="none"/>
          <w:left w:val="none"/>
          <w:bottom w:val="none"/>
          <w:right w:val="none"/>
          <w:insideH w:val="none"/>
          <w:insideV w:val="none"/>
        </w:tblBorders>
      </w:tblPr>
      <w:tblGrid>
        <w:gridCol w:w="100"/>
        <w:gridCol w:w="100"/>
        <w:gridCol w:w="100"/>
      </w:tblGrid>
      <w:tr>
        <w:tc>
          <w:tcPr>
            <w:tcW w:type="dxa" w:w="3200"/>
          </w:tcPr>
          <w:p>
            <w:r>
              <w:rPr>
                <w:rFonts w:ascii="Calibri" w:cs="Calibri" w:eastAsia="Calibri" w:hAnsi="Calibri"/>
                <w:color w:val="262626"/>
                <w:sz w:val="20"/>
                <w:szCs w:val="20"/>
              </w:rPr>
              <w:t xml:space="preserve">Access to target users / network</w:t>
            </w:r>
          </w:p>
        </w:tc>
        <w:tc>
          <w:tcPr>
            <w:tcW w:type="dxa" w:w="4960"/>
            <w:shd w:fill="FFFFFF" w:color="auto" w:val="clear"/>
          </w:tcPr>
          <w:tbl>
            <w:tblPr>
              <w:tblW w:type="dxa" w:w="4960"/>
              <w:tblBorders>
                <w:top w:val="single" w:color="FFFFFF" w:sz="2"/>
                <w:left w:val="single" w:color="FFFFFF" w:sz="2"/>
                <w:bottom w:val="single" w:color="FFFFFF" w:sz="2"/>
                <w:right w:val="single" w:color="FFFFFF" w:sz="2"/>
                <w:insideH w:val="single" w:color="FFFFFF" w:sz="2"/>
                <w:insideV w:val="single" w:color="FFFFFF" w:sz="2"/>
              </w:tblBorders>
            </w:tblPr>
            <w:tblGrid>
              <w:gridCol w:w="1984"/>
              <w:gridCol w:w="2976"/>
            </w:tblGrid>
            <w:tr>
              <w:tc>
                <w:tcPr>
                  <w:tcW w:type="dxa" w:w="1984"/>
                  <w:shd w:fill="C0392B" w:color="auto" w:val="clear"/>
                </w:tcPr>
                <w:p/>
              </w:tc>
              <w:tc>
                <w:tcPr>
                  <w:tcW w:type="dxa" w:w="2976"/>
                  <w:shd w:fill="F2F2F2" w:color="auto" w:val="clear"/>
                </w:tcPr>
                <w:p/>
              </w:tc>
            </w:tr>
          </w:tbl>
          <w:p/>
        </w:tc>
        <w:tc>
          <w:tcPr>
            <w:tcW w:type="dxa" w:w="1200"/>
          </w:tcPr>
          <w:p>
            <w:pPr>
              <w:jc w:val="right"/>
            </w:pPr>
            <w:r>
              <w:rPr>
                <w:rFonts w:ascii="Calibri" w:cs="Calibri" w:eastAsia="Calibri" w:hAnsi="Calibri"/>
                <w:b/>
                <w:bCs/>
                <w:color w:val="C0392B"/>
                <w:sz w:val="20"/>
                <w:szCs w:val="20"/>
              </w:rPr>
              <w:t xml:space="preserve">4/10</w:t>
            </w:r>
          </w:p>
        </w:tc>
      </w:tr>
    </w:tbl>
    <w:p>
      <w:pPr>
        <w:spacing w:after="60"/>
      </w:pPr>
    </w:p>
    <w:tbl>
      <w:tblPr>
        <w:tblW w:type="dxa" w:w="9360"/>
        <w:tblBorders>
          <w:top w:val="none"/>
          <w:left w:val="none"/>
          <w:bottom w:val="none"/>
          <w:right w:val="none"/>
          <w:insideH w:val="none"/>
          <w:insideV w:val="none"/>
        </w:tblBorders>
      </w:tblPr>
      <w:tblGrid>
        <w:gridCol w:w="100"/>
        <w:gridCol w:w="100"/>
        <w:gridCol w:w="100"/>
      </w:tblGrid>
      <w:tr>
        <w:tc>
          <w:tcPr>
            <w:tcW w:type="dxa" w:w="3200"/>
          </w:tcPr>
          <w:p>
            <w:r>
              <w:rPr>
                <w:rFonts w:ascii="Calibri" w:cs="Calibri" w:eastAsia="Calibri" w:hAnsi="Calibri"/>
                <w:color w:val="262626"/>
                <w:sz w:val="20"/>
                <w:szCs w:val="20"/>
              </w:rPr>
              <w:t xml:space="preserve">Prior validation effort completed</w:t>
            </w:r>
          </w:p>
        </w:tc>
        <w:tc>
          <w:tcPr>
            <w:tcW w:type="dxa" w:w="4960"/>
            <w:shd w:fill="FFFFFF" w:color="auto" w:val="clear"/>
          </w:tcPr>
          <w:tbl>
            <w:tblPr>
              <w:tblW w:type="dxa" w:w="4960"/>
              <w:tblBorders>
                <w:top w:val="single" w:color="FFFFFF" w:sz="2"/>
                <w:left w:val="single" w:color="FFFFFF" w:sz="2"/>
                <w:bottom w:val="single" w:color="FFFFFF" w:sz="2"/>
                <w:right w:val="single" w:color="FFFFFF" w:sz="2"/>
                <w:insideH w:val="single" w:color="FFFFFF" w:sz="2"/>
                <w:insideV w:val="single" w:color="FFFFFF" w:sz="2"/>
              </w:tblBorders>
            </w:tblPr>
            <w:tblGrid>
              <w:gridCol w:w="1488"/>
              <w:gridCol w:w="3472"/>
            </w:tblGrid>
            <w:tr>
              <w:tc>
                <w:tcPr>
                  <w:tcW w:type="dxa" w:w="1488"/>
                  <w:shd w:fill="C0392B" w:color="auto" w:val="clear"/>
                </w:tcPr>
                <w:p/>
              </w:tc>
              <w:tc>
                <w:tcPr>
                  <w:tcW w:type="dxa" w:w="3472"/>
                  <w:shd w:fill="F2F2F2" w:color="auto" w:val="clear"/>
                </w:tcPr>
                <w:p/>
              </w:tc>
            </w:tr>
          </w:tbl>
          <w:p/>
        </w:tc>
        <w:tc>
          <w:tcPr>
            <w:tcW w:type="dxa" w:w="1200"/>
          </w:tcPr>
          <w:p>
            <w:pPr>
              <w:jc w:val="right"/>
            </w:pPr>
            <w:r>
              <w:rPr>
                <w:rFonts w:ascii="Calibri" w:cs="Calibri" w:eastAsia="Calibri" w:hAnsi="Calibri"/>
                <w:b/>
                <w:bCs/>
                <w:color w:val="C0392B"/>
                <w:sz w:val="20"/>
                <w:szCs w:val="20"/>
              </w:rPr>
              <w:t xml:space="preserve">3/10</w:t>
            </w:r>
          </w:p>
        </w:tc>
      </w:tr>
    </w:tbl>
    <w:p>
      <w:pPr>
        <w:spacing w:after="160"/>
      </w:pPr>
    </w:p>
    <w:tbl>
      <w:tblPr>
        <w:tblW w:type="dxa" w:w="9360"/>
        <w:tblBorders>
          <w:top w:val="single" w:color="B7791F" w:sz="8"/>
          <w:left w:val="single" w:color="B7791F" w:sz="8"/>
          <w:bottom w:val="single" w:color="B7791F" w:sz="8"/>
          <w:right w:val="single" w:color="B7791F" w:sz="8"/>
          <w:insideH w:val="single" w:color="B7791F" w:sz="8"/>
          <w:insideV w:val="single" w:color="B7791F" w:sz="8"/>
        </w:tblBorders>
      </w:tblPr>
      <w:tblGrid>
        <w:gridCol w:w="100"/>
      </w:tblGrid>
      <w:tr>
        <w:tc>
          <w:tcPr>
            <w:tcW w:type="dxa" w:w="9360"/>
            <w:shd w:fill="B7791F" w:color="auto" w:val="clear"/>
            <w:tcMar>
              <w:top w:type="dxa" w:w="220"/>
              <w:left w:type="dxa" w:w="240"/>
              <w:bottom w:type="dxa" w:w="220"/>
              <w:right w:type="dxa" w:w="240"/>
            </w:tcMar>
          </w:tcPr>
          <w:p>
            <w:pPr>
              <w:jc w:val="center"/>
            </w:pPr>
            <w:r>
              <w:rPr>
                <w:rFonts w:ascii="Calibri" w:cs="Calibri" w:eastAsia="Calibri" w:hAnsi="Calibri"/>
                <w:b/>
                <w:bCs/>
                <w:color w:val="FFFFFF"/>
                <w:sz w:val="26"/>
                <w:szCs w:val="26"/>
              </w:rPr>
              <w:t xml:space="preserve">OVERALL FOUNDER-MARKET FIT: 5.7 / 10 — MODERATE (Promising, but Early)</w:t>
            </w:r>
          </w:p>
        </w:tc>
      </w:tr>
    </w:tbl>
    <w:p>
      <w:pPr>
        <w:spacing w:after="140"/>
      </w:pPr>
    </w:p>
    <w:p>
      <w:pPr>
        <w:spacing w:after="100" w:before="200"/>
      </w:pPr>
      <w:r>
        <w:rPr>
          <w:rFonts w:ascii="Calibri" w:cs="Calibri" w:eastAsia="Calibri" w:hAnsi="Calibri"/>
          <w:b/>
          <w:bCs/>
          <w:color w:val="142544"/>
          <w:sz w:val="22"/>
          <w:szCs w:val="22"/>
        </w:rPr>
        <w:t xml:space="preserve">Interpretation</w:t>
      </w:r>
    </w:p>
    <w:p>
      <w:pPr>
        <w:pStyle w:val="ListParagraph"/>
        <w:numPr>
          <w:ilvl w:val="0"/>
          <w:numId w:val="1"/>
        </w:numPr>
        <w:spacing w:after="80" w:line="264"/>
      </w:pPr>
      <w:r>
        <w:rPr>
          <w:rFonts w:ascii="Calibri" w:cs="Calibri" w:eastAsia="Calibri" w:hAnsi="Calibri"/>
          <w:color w:val="262626"/>
          <w:sz w:val="21"/>
          <w:szCs w:val="21"/>
        </w:rPr>
        <w:t xml:space="preserve">Your genuine, sustained interest in AI, cybersecurity, and web development is a real asset — most successful privacy products are built by founders who are personally obsessed with the problem.</w:t>
      </w:r>
    </w:p>
    <w:p>
      <w:pPr>
        <w:pStyle w:val="ListParagraph"/>
        <w:numPr>
          <w:ilvl w:val="0"/>
          <w:numId w:val="1"/>
        </w:numPr>
        <w:spacing w:after="80" w:line="264"/>
      </w:pPr>
      <w:r>
        <w:rPr>
          <w:rFonts w:ascii="Calibri" w:cs="Calibri" w:eastAsia="Calibri" w:hAnsi="Calibri"/>
          <w:color w:val="262626"/>
          <w:sz w:val="21"/>
          <w:szCs w:val="21"/>
        </w:rPr>
        <w:t xml:space="preserve">The biggest gaps are trust/credibility and network access, not motivation. Privacy products ask users for a large trust leap; a first-time student founder must compensate with radical transparency, third-party validation, and a very narrow initial promise.</w:t>
      </w:r>
    </w:p>
    <w:p>
      <w:pPr>
        <w:pStyle w:val="ListParagraph"/>
        <w:numPr>
          <w:ilvl w:val="0"/>
          <w:numId w:val="1"/>
        </w:numPr>
        <w:spacing w:after="80" w:line="264"/>
      </w:pPr>
      <w:r>
        <w:rPr>
          <w:rFonts w:ascii="Calibri" w:cs="Calibri" w:eastAsia="Calibri" w:hAnsi="Calibri"/>
          <w:color w:val="262626"/>
          <w:sz w:val="21"/>
          <w:szCs w:val="21"/>
        </w:rPr>
        <w:t xml:space="preserve">Closing the technical-execution gap (score: 6/10) via a lean MVP, open-source components, or a technical co-founder will materially raise your odds.</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4. TAM, SAM, SOM Analysis</w:t>
      </w:r>
    </w:p>
    <w:p>
      <w:pPr>
        <w:spacing w:after="160" w:line="276"/>
      </w:pPr>
      <w:r>
        <w:rPr>
          <w:rFonts w:ascii="Calibri" w:cs="Calibri" w:eastAsia="Calibri" w:hAnsi="Calibri"/>
          <w:b w:val="false"/>
          <w:bCs w:val="false"/>
          <w:i w:val="false"/>
          <w:iCs w:val="false"/>
          <w:color w:val="262626"/>
          <w:sz w:val="21"/>
          <w:szCs w:val="21"/>
        </w:rPr>
        <w:t xml:space="preserve">Figures below use a bottoms-up model anchored to published smartphone/internet population data and industry pricing benchmarks for consumer privacy tools (DeleteMe, Incogni, Aura). Broader enterprise-focused "data privacy software" market reports size the category at roughly $5-7B in 2026 growing 20-40% CAGR, but that figure is dominated by B2B compliance software and is not directly transferable to a consumer app — the estimate below is scoped specifically to consumer demand.</w:t>
      </w:r>
    </w:p>
    <w:p>
      <w:pPr>
        <w:spacing w:after="10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600"/>
        <w:gridCol w:w="3600"/>
        <w:gridCol w:w="2560"/>
        <w:gridCol w:w="1600"/>
      </w:tblGrid>
      <w:tr>
        <w:trPr>
          <w:tblHeader/>
        </w:trPr>
        <w:tc>
          <w:tcPr>
            <w:tcW w:type="dxa" w:w="16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36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Definition</w:t>
            </w:r>
          </w:p>
        </w:tc>
        <w:tc>
          <w:tcPr>
            <w:tcW w:type="dxa" w:w="25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Sizing Logic</w:t>
            </w:r>
          </w:p>
        </w:tc>
        <w:tc>
          <w:tcPr>
            <w:tcW w:type="dxa" w:w="16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Estimated Value</w:t>
            </w:r>
          </w:p>
        </w:tc>
      </w:tr>
      <w:tr>
        <w:tc>
          <w:tcPr>
            <w:tcW w:type="dxa" w:w="1600"/>
            <w:shd w:fill="FFFFFF" w:color="auto" w:val="clear"/>
            <w:tcMar>
              <w:top w:type="dxa" w:w="90"/>
              <w:left w:type="dxa" w:w="120"/>
              <w:bottom w:type="dxa" w:w="90"/>
              <w:right w:type="dxa" w:w="120"/>
            </w:tcMar>
            <w:vAlign w:val="center"/>
          </w:tcPr>
          <w:p>
            <w:r>
              <w:rPr>
                <w:rFonts w:ascii="Calibri" w:cs="Calibri" w:eastAsia="Calibri" w:hAnsi="Calibri"/>
                <w:b/>
                <w:bCs/>
                <w:color w:val="1F3864"/>
                <w:sz w:val="19"/>
                <w:szCs w:val="19"/>
              </w:rPr>
              <w:t xml:space="preserve">TAM</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Global consumers who could plausibly buy a digital privacy / footprint tool</w:t>
            </w:r>
          </w:p>
        </w:tc>
        <w:tc>
          <w:tcPr>
            <w:tcW w:type="dxa" w:w="25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~5.6B global smartphone users × ~15% privacy-conscious &amp; willing to act × ~$40/yr avg spend</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b/>
                <w:bCs/>
                <w:color w:val="262626"/>
                <w:sz w:val="19"/>
                <w:szCs w:val="19"/>
              </w:rPr>
              <w:t xml:space="preserve">~$33B</w:t>
            </w:r>
          </w:p>
        </w:tc>
      </w:tr>
      <w:tr>
        <w:tc>
          <w:tcPr>
            <w:tcW w:type="dxa" w:w="1600"/>
            <w:shd w:fill="F2F2F2" w:color="auto" w:val="clear"/>
            <w:tcMar>
              <w:top w:type="dxa" w:w="90"/>
              <w:left w:type="dxa" w:w="120"/>
              <w:bottom w:type="dxa" w:w="90"/>
              <w:right w:type="dxa" w:w="120"/>
            </w:tcMar>
            <w:vAlign w:val="center"/>
          </w:tcPr>
          <w:p>
            <w:r>
              <w:rPr>
                <w:rFonts w:ascii="Calibri" w:cs="Calibri" w:eastAsia="Calibri" w:hAnsi="Calibri"/>
                <w:b/>
                <w:bCs/>
                <w:color w:val="1F3864"/>
                <w:sz w:val="19"/>
                <w:szCs w:val="19"/>
              </w:rPr>
              <w:t xml:space="preserve">SAM</w:t>
            </w:r>
          </w:p>
        </w:tc>
        <w:tc>
          <w:tcPr>
            <w:tcW w:type="dxa" w:w="3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Users in launch + planned expansion geographies (India, US, Canada, UK, Australia, Europe)</w:t>
            </w:r>
          </w:p>
        </w:tc>
        <w:tc>
          <w:tcPr>
            <w:tcW w:type="dxa" w:w="25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~1.6-1.7B smartphone users in these markets × ~15% × ~$40/yr</w:t>
            </w:r>
          </w:p>
        </w:tc>
        <w:tc>
          <w:tcPr>
            <w:tcW w:type="dxa" w:w="1600"/>
            <w:shd w:fill="F2F2F2" w:color="auto" w:val="clear"/>
            <w:tcMar>
              <w:top w:type="dxa" w:w="90"/>
              <w:left w:type="dxa" w:w="120"/>
              <w:bottom w:type="dxa" w:w="90"/>
              <w:right w:type="dxa" w:w="120"/>
            </w:tcMar>
            <w:vAlign w:val="center"/>
          </w:tcPr>
          <w:p>
            <w:r>
              <w:rPr>
                <w:rFonts w:ascii="Calibri" w:cs="Calibri" w:eastAsia="Calibri" w:hAnsi="Calibri"/>
                <w:b/>
                <w:bCs/>
                <w:color w:val="262626"/>
                <w:sz w:val="19"/>
                <w:szCs w:val="19"/>
              </w:rPr>
              <w:t xml:space="preserve">~$10B</w:t>
            </w:r>
          </w:p>
        </w:tc>
      </w:tr>
      <w:tr>
        <w:tc>
          <w:tcPr>
            <w:tcW w:type="dxa" w:w="1600"/>
            <w:shd w:fill="FFFFFF" w:color="auto" w:val="clear"/>
            <w:tcMar>
              <w:top w:type="dxa" w:w="90"/>
              <w:left w:type="dxa" w:w="120"/>
              <w:bottom w:type="dxa" w:w="90"/>
              <w:right w:type="dxa" w:w="120"/>
            </w:tcMar>
            <w:vAlign w:val="center"/>
          </w:tcPr>
          <w:p>
            <w:r>
              <w:rPr>
                <w:rFonts w:ascii="Calibri" w:cs="Calibri" w:eastAsia="Calibri" w:hAnsi="Calibri"/>
                <w:b/>
                <w:bCs/>
                <w:color w:val="1F3864"/>
                <w:sz w:val="19"/>
                <w:szCs w:val="19"/>
              </w:rPr>
              <w:t xml:space="preserve">SOM</w:t>
            </w:r>
          </w:p>
        </w:tc>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Realistically obtainable in India within 3 years at an India-appropriate price point</w:t>
            </w:r>
          </w:p>
        </w:tc>
        <w:tc>
          <w:tcPr>
            <w:tcW w:type="dxa" w:w="25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850M India smartphone users × ~5% early privacy-conscious segment × 0.1-0.5% capture × ~₹900-1,200/yr (~$11-14)</w:t>
            </w:r>
          </w:p>
        </w:tc>
        <w:tc>
          <w:tcPr>
            <w:tcW w:type="dxa" w:w="1600"/>
            <w:shd w:fill="FFFFFF" w:color="auto" w:val="clear"/>
            <w:tcMar>
              <w:top w:type="dxa" w:w="90"/>
              <w:left w:type="dxa" w:w="120"/>
              <w:bottom w:type="dxa" w:w="90"/>
              <w:right w:type="dxa" w:w="120"/>
            </w:tcMar>
            <w:vAlign w:val="center"/>
          </w:tcPr>
          <w:p>
            <w:r>
              <w:rPr>
                <w:rFonts w:ascii="Calibri" w:cs="Calibri" w:eastAsia="Calibri" w:hAnsi="Calibri"/>
                <w:b/>
                <w:bCs/>
                <w:color w:val="262626"/>
                <w:sz w:val="19"/>
                <w:szCs w:val="19"/>
              </w:rPr>
              <w:t xml:space="preserve">$0.4M-$3M ARR</w:t>
            </w:r>
          </w:p>
        </w:tc>
      </w:tr>
    </w:tbl>
    <w:p>
      <w:pPr>
        <w:spacing w:after="120"/>
      </w:pPr>
    </w:p>
    <w:p>
      <w:pPr>
        <w:spacing w:after="100" w:before="200"/>
      </w:pPr>
      <w:r>
        <w:rPr>
          <w:rFonts w:ascii="Calibri" w:cs="Calibri" w:eastAsia="Calibri" w:hAnsi="Calibri"/>
          <w:b/>
          <w:bCs/>
          <w:color w:val="142544"/>
          <w:sz w:val="22"/>
          <w:szCs w:val="22"/>
        </w:rPr>
        <w:t xml:space="preserve">Reading the Numbers</w:t>
      </w:r>
    </w:p>
    <w:p>
      <w:pPr>
        <w:pStyle w:val="ListParagraph"/>
        <w:numPr>
          <w:ilvl w:val="0"/>
          <w:numId w:val="1"/>
        </w:numPr>
        <w:spacing w:after="80" w:line="264"/>
      </w:pPr>
      <w:r>
        <w:rPr>
          <w:rFonts w:ascii="Calibri" w:cs="Calibri" w:eastAsia="Calibri" w:hAnsi="Calibri"/>
          <w:color w:val="262626"/>
          <w:sz w:val="21"/>
          <w:szCs w:val="21"/>
        </w:rPr>
        <w:t xml:space="preserve">TAM and SAM are illustrative ceilings, not near-term targets — they show the category is large enough to justify a venture-scale ambition.</w:t>
      </w:r>
    </w:p>
    <w:p>
      <w:pPr>
        <w:pStyle w:val="ListParagraph"/>
        <w:numPr>
          <w:ilvl w:val="0"/>
          <w:numId w:val="1"/>
        </w:numPr>
        <w:spacing w:after="80" w:line="264"/>
      </w:pPr>
      <w:r>
        <w:rPr>
          <w:rFonts w:ascii="Calibri" w:cs="Calibri" w:eastAsia="Calibri" w:hAnsi="Calibri"/>
          <w:color w:val="262626"/>
          <w:sz w:val="21"/>
          <w:szCs w:val="21"/>
        </w:rPr>
        <w:t xml:space="preserve">SOM is the number that matters for the next 12-36 months: a realistic India-first beachhead of roughly $0.4M-$3M ARR, assuming a low-price, high-volume freemium model rather than US-style $8-13/month pricing.</w:t>
      </w:r>
    </w:p>
    <w:p>
      <w:pPr>
        <w:pStyle w:val="ListParagraph"/>
        <w:numPr>
          <w:ilvl w:val="0"/>
          <w:numId w:val="1"/>
        </w:numPr>
        <w:spacing w:after="80" w:line="264"/>
      </w:pPr>
      <w:r>
        <w:rPr>
          <w:rFonts w:ascii="Calibri" w:cs="Calibri" w:eastAsia="Calibri" w:hAnsi="Calibri"/>
          <w:color w:val="262626"/>
          <w:sz w:val="21"/>
          <w:szCs w:val="21"/>
        </w:rPr>
        <w:t xml:space="preserve">India's price sensitivity means the SOM range is highly dependent on nailing a freemium-to-paid conversion funnel and/or a B2B2C distribution channel (see Pivot Opportunities).</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5. Competitor Analysis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2200"/>
        <w:gridCol w:w="1500"/>
        <w:gridCol w:w="1400"/>
        <w:gridCol w:w="2760"/>
      </w:tblGrid>
      <w:tr>
        <w:trPr>
          <w:tblHeader/>
        </w:trPr>
        <w:tc>
          <w:tcPr>
            <w:tcW w:type="dxa" w:w="15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Competitor</w:t>
            </w:r>
          </w:p>
        </w:tc>
        <w:tc>
          <w:tcPr>
            <w:tcW w:type="dxa" w:w="22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Core Focus</w:t>
            </w:r>
          </w:p>
        </w:tc>
        <w:tc>
          <w:tcPr>
            <w:tcW w:type="dxa" w:w="15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Pricing (approx.)</w:t>
            </w:r>
          </w:p>
        </w:tc>
        <w:tc>
          <w:tcPr>
            <w:tcW w:type="dxa" w:w="14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Primary Market</w:t>
            </w:r>
          </w:p>
        </w:tc>
        <w:tc>
          <w:tcPr>
            <w:tcW w:type="dxa" w:w="27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Weakness</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DeleteMe</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Data-broker opt-out &amp; removal, human-assisted</w:t>
            </w:r>
          </w:p>
        </w:tc>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$8-13/mo (annual)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 limited intl</w:t>
            </w:r>
          </w:p>
        </w:tc>
        <w:tc>
          <w:tcPr>
            <w:tcW w:type="dxa" w:w="27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Premium priced; narrow broker coverage on entry tier; not education-focused</w:t>
            </w:r>
          </w:p>
        </w:tc>
      </w:tr>
      <w:tr>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Incogni</w:t>
            </w:r>
          </w:p>
        </w:tc>
        <w:tc>
          <w:tcPr>
            <w:tcW w:type="dxa" w:w="2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Automated data-broker removal, backed by Surfshark</w:t>
            </w:r>
          </w:p>
        </w:tc>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$7.50-13/mo</w:t>
            </w:r>
          </w:p>
        </w:tc>
        <w:tc>
          <w:tcPr>
            <w:tcW w:type="dxa" w:w="1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 EU, global</w:t>
            </w:r>
          </w:p>
        </w:tc>
        <w:tc>
          <w:tcPr>
            <w:tcW w:type="dxa" w:w="27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"Blind" opt-outs with limited proof of what was actually removed</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Aura</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Bundled identity-theft protection + data removal + insurance</w:t>
            </w:r>
          </w:p>
        </w:tc>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$12-15/mo</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US-centric</w:t>
            </w:r>
          </w:p>
        </w:tc>
        <w:tc>
          <w:tcPr>
            <w:tcW w:type="dxa" w:w="27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Expensive bundle; not built around everyday behavior/education</w:t>
            </w:r>
          </w:p>
        </w:tc>
      </w:tr>
      <w:tr>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Mozilla Monitor</w:t>
            </w:r>
          </w:p>
        </w:tc>
        <w:tc>
          <w:tcPr>
            <w:tcW w:type="dxa" w:w="2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Free breach monitoring, limited removal</w:t>
            </w:r>
          </w:p>
        </w:tc>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Free / freemium</w:t>
            </w:r>
          </w:p>
        </w:tc>
        <w:tc>
          <w:tcPr>
            <w:tcW w:type="dxa" w:w="1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Global</w:t>
            </w:r>
          </w:p>
        </w:tc>
        <w:tc>
          <w:tcPr>
            <w:tcW w:type="dxa" w:w="27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Shallow feature set; not a full digital-footprint or behavior analysis tool</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India-specific players</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No meaningful consumer-scale competitor identified</w:t>
            </w:r>
          </w:p>
        </w:tc>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India</w:t>
            </w:r>
          </w:p>
        </w:tc>
        <w:tc>
          <w:tcPr>
            <w:tcW w:type="dxa" w:w="27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Category effectively open — first-mover advantage is available</w:t>
            </w:r>
          </w:p>
        </w:tc>
      </w:tr>
    </w:tbl>
    <w:p>
      <w:pPr>
        <w:spacing w:after="140"/>
      </w:pPr>
    </w:p>
    <w:p>
      <w:pPr>
        <w:spacing w:after="160" w:line="276"/>
      </w:pPr>
      <w:r>
        <w:rPr>
          <w:rFonts w:ascii="Calibri" w:cs="Calibri" w:eastAsia="Calibri" w:hAnsi="Calibri"/>
          <w:b w:val="false"/>
          <w:bCs w:val="false"/>
          <w:i w:val="false"/>
          <w:iCs w:val="false"/>
          <w:color w:val="262626"/>
          <w:sz w:val="21"/>
          <w:szCs w:val="21"/>
        </w:rPr>
        <w:t xml:space="preserve">None of the established players lead with plain-language digital-footprint education for first-time, non-technical users, and none have built India-first pricing, language, or app-ecosystem coverage (UPI apps, Aadhaar-linked services, India-popular social/e-commerce apps). This is the clearest strategic opening for PrivacyGuard AI.</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6. Market Gap Analysis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160"/>
        <w:gridCol w:w="4000"/>
        <w:gridCol w:w="2200"/>
      </w:tblGrid>
      <w:tr>
        <w:trPr>
          <w:tblHeader/>
        </w:trPr>
        <w:tc>
          <w:tcPr>
            <w:tcW w:type="dxa" w:w="31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Gap</w:t>
            </w:r>
          </w:p>
        </w:tc>
        <w:tc>
          <w:tcPr>
            <w:tcW w:type="dxa" w:w="40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 It Matters</w:t>
            </w:r>
          </w:p>
        </w:tc>
        <w:tc>
          <w:tcPr>
            <w:tcW w:type="dxa" w:w="22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Opportunity for PrivacyGuard AI</w:t>
            </w:r>
          </w:p>
        </w:tc>
      </w:tr>
      <w:tr>
        <w:tc>
          <w:tcPr>
            <w:tcW w:type="dxa" w:w="3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No India-first privacy brand at consumer scale</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850M+ smartphone users with a new data-protection law (DPDP Act) and rising breach awareness, but no trusted local brand</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First-mover positioning + local pricing/language</w:t>
            </w:r>
          </w:p>
        </w:tc>
      </w:tr>
      <w:tr>
        <w:tc>
          <w:tcPr>
            <w:tcW w:type="dxa" w:w="3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Existing tools are reactive (removal), not preventive (education)</w:t>
            </w:r>
          </w:p>
        </w:tc>
        <w:tc>
          <w:tcPr>
            <w:tcW w:type="dxa" w:w="40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Users don't understand *why* they're exposed, only that they are — removal alone doesn't build lasting behavior change</w:t>
            </w:r>
          </w:p>
        </w:tc>
        <w:tc>
          <w:tcPr>
            <w:tcW w:type="dxa" w:w="2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Lead with a plain-language "privacy score" + guided fixes, not just opt-out requests</w:t>
            </w:r>
          </w:p>
        </w:tc>
      </w:tr>
      <w:tr>
        <w:tc>
          <w:tcPr>
            <w:tcW w:type="dxa" w:w="3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High technical jargon in current UX</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Non-technical users (students, first-time smartphone users) disengage from settings-heavy tools</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Simplicity as a core design principle — a genuine differentiator, not just a nice-to-have</w:t>
            </w:r>
          </w:p>
        </w:tc>
      </w:tr>
      <w:tr>
        <w:tc>
          <w:tcPr>
            <w:tcW w:type="dxa" w:w="3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USD pricing unaffordable/irrelevant in India</w:t>
            </w:r>
          </w:p>
        </w:tc>
        <w:tc>
          <w:tcPr>
            <w:tcW w:type="dxa" w:w="40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$8-15/month is 3-5x an India-appropriate price point</w:t>
            </w:r>
          </w:p>
        </w:tc>
        <w:tc>
          <w:tcPr>
            <w:tcW w:type="dxa" w:w="2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Freemium model with India-priced premium tier (₹99-299/month)</w:t>
            </w:r>
          </w:p>
        </w:tc>
      </w:tr>
      <w:tr>
        <w:tc>
          <w:tcPr>
            <w:tcW w:type="dxa" w:w="3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No family/parent-oriented consumer privacy tool at scale</w:t>
            </w:r>
          </w:p>
        </w:tc>
        <w:tc>
          <w:tcPr>
            <w:tcW w:type="dxa" w:w="40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Parents increasingly worried about children's online exposure but lack simple tools</w:t>
            </w:r>
          </w:p>
        </w:tc>
        <w:tc>
          <w:tcPr>
            <w:tcW w:type="dxa" w:w="2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Secondary persona and future upsell path</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7. Ideal Customer Profile (ICP)</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6560"/>
      </w:tblGrid>
      <w:tr>
        <w:trPr>
          <w:tblHeader/>
        </w:trPr>
        <w:tc>
          <w:tcPr>
            <w:tcW w:type="dxa" w:w="28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65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Profile</w:t>
            </w:r>
          </w:p>
        </w:tc>
      </w:tr>
      <w:tr>
        <w:tc>
          <w:tcPr>
            <w:tcW w:type="dxa" w:w="28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Age range</w:t>
            </w:r>
          </w:p>
        </w:tc>
        <w:tc>
          <w:tcPr>
            <w:tcW w:type="dxa" w:w="65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18-35</w:t>
            </w:r>
          </w:p>
        </w:tc>
      </w:tr>
      <w:tr>
        <w:tc>
          <w:tcPr>
            <w:tcW w:type="dxa" w:w="28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Geography</w:t>
            </w:r>
          </w:p>
        </w:tc>
        <w:tc>
          <w:tcPr>
            <w:tcW w:type="dxa" w:w="65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Urban &amp; Tier-1/Tier-2 India initially (Bengaluru, Pune, Delhi-NCR, Hyderabad, Mumbai)</w:t>
            </w:r>
          </w:p>
        </w:tc>
      </w:tr>
      <w:tr>
        <w:tc>
          <w:tcPr>
            <w:tcW w:type="dxa" w:w="28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Occupation</w:t>
            </w:r>
          </w:p>
        </w:tc>
        <w:tc>
          <w:tcPr>
            <w:tcW w:type="dxa" w:w="65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Students, early-career professionals, remote workers, freelancers</w:t>
            </w:r>
          </w:p>
        </w:tc>
      </w:tr>
      <w:tr>
        <w:tc>
          <w:tcPr>
            <w:tcW w:type="dxa" w:w="28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Digital behavior</w:t>
            </w:r>
          </w:p>
        </w:tc>
        <w:tc>
          <w:tcPr>
            <w:tcW w:type="dxa" w:w="65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Active on 10+ apps (social, UPI/payments, shopping, delivery, dating); heavy smartphone-first usage</w:t>
            </w:r>
          </w:p>
        </w:tc>
      </w:tr>
      <w:tr>
        <w:tc>
          <w:tcPr>
            <w:tcW w:type="dxa" w:w="28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Digital literacy</w:t>
            </w:r>
          </w:p>
        </w:tc>
        <w:tc>
          <w:tcPr>
            <w:tcW w:type="dxa" w:w="65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Moderate-to-high; comfortable with apps but not with technical privacy settings</w:t>
            </w:r>
          </w:p>
        </w:tc>
      </w:tr>
      <w:tr>
        <w:tc>
          <w:tcPr>
            <w:tcW w:type="dxa" w:w="28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Income band</w:t>
            </w:r>
          </w:p>
        </w:tc>
        <w:tc>
          <w:tcPr>
            <w:tcW w:type="dxa" w:w="65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Entry-to-mid income; price-sensitive but willing to pay for clear, tangible value</w:t>
            </w:r>
          </w:p>
        </w:tc>
      </w:tr>
      <w:tr>
        <w:tc>
          <w:tcPr>
            <w:tcW w:type="dxa" w:w="28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Trigger context</w:t>
            </w:r>
          </w:p>
        </w:tc>
        <w:tc>
          <w:tcPr>
            <w:tcW w:type="dxa" w:w="65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Has experienced or heard about a data breach, spam-call surge, or targeted-ad discomfort</w:t>
            </w:r>
          </w:p>
        </w:tc>
      </w:tr>
      <w:tr>
        <w:tc>
          <w:tcPr>
            <w:tcW w:type="dxa" w:w="28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Underlying motivation</w:t>
            </w:r>
          </w:p>
        </w:tc>
        <w:tc>
          <w:tcPr>
            <w:tcW w:type="dxa" w:w="65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Wants control and peace of mind without needing to become a security expert</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8. Buyer Persona</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100"/>
      </w:tblGrid>
      <w:tr>
        <w:tc>
          <w:tcPr>
            <w:tcW w:type="dxa" w:w="9360"/>
            <w:shd w:fill="F2F2F2" w:color="auto" w:val="clear"/>
            <w:tcMar>
              <w:top w:type="dxa" w:w="160"/>
              <w:left w:type="dxa" w:w="200"/>
              <w:bottom w:type="dxa" w:w="160"/>
              <w:right w:type="dxa" w:w="200"/>
            </w:tcMar>
          </w:tcPr>
          <w:p>
            <w:pPr>
              <w:spacing w:after="60"/>
            </w:pPr>
            <w:r>
              <w:rPr>
                <w:rFonts w:ascii="Calibri" w:cs="Calibri" w:eastAsia="Calibri" w:hAnsi="Calibri"/>
                <w:b/>
                <w:bCs/>
                <w:color w:val="1F3864"/>
                <w:sz w:val="19"/>
                <w:szCs w:val="19"/>
              </w:rPr>
              <w:t xml:space="preserve">PERSONA: "PRIVACY-CURIOUS PRIYA"</w:t>
            </w:r>
          </w:p>
          <w:p>
            <w:r>
              <w:rPr>
                <w:rFonts w:ascii="Calibri" w:cs="Calibri" w:eastAsia="Calibri" w:hAnsi="Calibri"/>
                <w:color w:val="262626"/>
                <w:sz w:val="21"/>
                <w:szCs w:val="21"/>
              </w:rPr>
              <w:t xml:space="preserve">24 years old, software engineer / final-year IT student based in Bengaluru or Pune. Uses 15+ apps daily including UPI payment apps, Instagram, food delivery, and shopping apps. Recently got spam calls after a friend's data was leaked in a breach reported in the news. She's not a security expert and finds most privacy tools confusing — she wants a simple "health score" for her digital life and a few clear actions to take, not a 40-page settings menu. Budget-conscious: would try a free tier immediately, and could convert to a ₹99-199/month plan if she sees clear, personalized value in the first session.</w:t>
            </w:r>
          </w:p>
        </w:tc>
      </w:tr>
    </w:tbl>
    <w:p>
      <w:pPr>
        <w:spacing w:after="14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680"/>
        <w:gridCol w:w="4680"/>
      </w:tblGrid>
      <w:tr>
        <w:trPr>
          <w:tblHeader/>
        </w:trPr>
        <w:tc>
          <w:tcPr>
            <w:tcW w:type="dxa" w:w="468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Goals</w:t>
            </w:r>
          </w:p>
        </w:tc>
        <w:tc>
          <w:tcPr>
            <w:tcW w:type="dxa" w:w="468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Frustrations</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Understand which apps have her data and why</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Privacy settings are scattered across dozens of apps</w:t>
            </w:r>
          </w:p>
        </w:tc>
      </w:tr>
      <w:tr>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Reduce spam calls/messages and targeted ads</w:t>
            </w:r>
          </w:p>
        </w:tc>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Existing tools are US-priced and don't feel built for her</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Feel in control without becoming a security expert</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Jargon-heavy explanations ('opt-out', 'data broker') mean little to her</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9. Customer Pain Points</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680"/>
        <w:gridCol w:w="4680"/>
      </w:tblGrid>
      <w:tr>
        <w:trPr>
          <w:tblHeader/>
        </w:trPr>
        <w:tc>
          <w:tcPr>
            <w:tcW w:type="dxa" w:w="468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Pain Point</w:t>
            </w:r>
          </w:p>
        </w:tc>
        <w:tc>
          <w:tcPr>
            <w:tcW w:type="dxa" w:w="468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Emotional Impact</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Doesn't know which apps access what personal data</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Confusion, low-grade anxiety</w:t>
            </w:r>
          </w:p>
        </w:tc>
      </w:tr>
      <w:tr>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Privacy settings fragmented across many apps and accounts</w:t>
            </w:r>
          </w:p>
        </w:tc>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Overwhelm — gives up before finishing</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Spam calls/messages and targeted ads after data leaks</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Frustration, feeling of powerlessness</w:t>
            </w:r>
          </w:p>
        </w:tc>
      </w:tr>
      <w:tr>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Tools that exist are jargon-heavy and technical</w:t>
            </w:r>
          </w:p>
        </w:tc>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Disengagement, feels 'not for me'</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Worry about family members' (parents, younger siblings) online safety</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Protective concern, wants a single trusted tool for the household</w:t>
            </w:r>
          </w:p>
        </w:tc>
      </w:tr>
      <w:tr>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Uncertainty about new data-protection laws (DPDP Act) and what it means personally</w:t>
            </w:r>
          </w:p>
        </w:tc>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Curiosity mixed with confusion</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10. Buying Triggers &amp; Objections</w:t>
      </w:r>
    </w:p>
    <w:p>
      <w:pPr>
        <w:spacing w:after="100" w:before="200"/>
      </w:pPr>
      <w:r>
        <w:rPr>
          <w:rFonts w:ascii="Calibri" w:cs="Calibri" w:eastAsia="Calibri" w:hAnsi="Calibri"/>
          <w:b/>
          <w:bCs/>
          <w:color w:val="142544"/>
          <w:sz w:val="22"/>
          <w:szCs w:val="22"/>
        </w:rPr>
        <w:t xml:space="preserve">Buying Triggers</w:t>
      </w:r>
    </w:p>
    <w:p>
      <w:pPr>
        <w:pStyle w:val="ListParagraph"/>
        <w:numPr>
          <w:ilvl w:val="0"/>
          <w:numId w:val="1"/>
        </w:numPr>
        <w:spacing w:after="80" w:line="264"/>
      </w:pPr>
      <w:r>
        <w:rPr>
          <w:rFonts w:ascii="Calibri" w:cs="Calibri" w:eastAsia="Calibri" w:hAnsi="Calibri"/>
          <w:color w:val="262626"/>
          <w:sz w:val="21"/>
          <w:szCs w:val="21"/>
        </w:rPr>
        <w:t xml:space="preserve">A data breach or leak is in the news, or affects someone they know</w:t>
      </w:r>
    </w:p>
    <w:p>
      <w:pPr>
        <w:pStyle w:val="ListParagraph"/>
        <w:numPr>
          <w:ilvl w:val="0"/>
          <w:numId w:val="1"/>
        </w:numPr>
        <w:spacing w:after="80" w:line="264"/>
      </w:pPr>
      <w:r>
        <w:rPr>
          <w:rFonts w:ascii="Calibri" w:cs="Calibri" w:eastAsia="Calibri" w:hAnsi="Calibri"/>
          <w:color w:val="262626"/>
          <w:sz w:val="21"/>
          <w:szCs w:val="21"/>
        </w:rPr>
        <w:t xml:space="preserve">A sudden increase in spam calls, texts, or targeted ads</w:t>
      </w:r>
    </w:p>
    <w:p>
      <w:pPr>
        <w:pStyle w:val="ListParagraph"/>
        <w:numPr>
          <w:ilvl w:val="0"/>
          <w:numId w:val="1"/>
        </w:numPr>
        <w:spacing w:after="80" w:line="264"/>
      </w:pPr>
      <w:r>
        <w:rPr>
          <w:rFonts w:ascii="Calibri" w:cs="Calibri" w:eastAsia="Calibri" w:hAnsi="Calibri"/>
          <w:color w:val="262626"/>
          <w:sz w:val="21"/>
          <w:szCs w:val="21"/>
        </w:rPr>
        <w:t xml:space="preserve">Getting a new phone, job, or bank account (fresh digital footprint moment)</w:t>
      </w:r>
    </w:p>
    <w:p>
      <w:pPr>
        <w:pStyle w:val="ListParagraph"/>
        <w:numPr>
          <w:ilvl w:val="0"/>
          <w:numId w:val="1"/>
        </w:numPr>
        <w:spacing w:after="80" w:line="264"/>
      </w:pPr>
      <w:r>
        <w:rPr>
          <w:rFonts w:ascii="Calibri" w:cs="Calibri" w:eastAsia="Calibri" w:hAnsi="Calibri"/>
          <w:color w:val="262626"/>
          <w:sz w:val="21"/>
          <w:szCs w:val="21"/>
        </w:rPr>
        <w:t xml:space="preserve">Growing personal awareness of the DPDP Act and 'what rights do I actually have?'</w:t>
      </w:r>
    </w:p>
    <w:p>
      <w:pPr>
        <w:pStyle w:val="ListParagraph"/>
        <w:numPr>
          <w:ilvl w:val="0"/>
          <w:numId w:val="1"/>
        </w:numPr>
        <w:spacing w:after="80" w:line="264"/>
      </w:pPr>
      <w:r>
        <w:rPr>
          <w:rFonts w:ascii="Calibri" w:cs="Calibri" w:eastAsia="Calibri" w:hAnsi="Calibri"/>
          <w:color w:val="262626"/>
          <w:sz w:val="21"/>
          <w:szCs w:val="21"/>
        </w:rPr>
        <w:t xml:space="preserve">Referral or social proof from a friend, influencer, or campus community</w:t>
      </w:r>
    </w:p>
    <w:p>
      <w:pPr>
        <w:spacing w:after="120"/>
      </w:pPr>
    </w:p>
    <w:p>
      <w:pPr>
        <w:spacing w:after="100" w:before="200"/>
      </w:pPr>
      <w:r>
        <w:rPr>
          <w:rFonts w:ascii="Calibri" w:cs="Calibri" w:eastAsia="Calibri" w:hAnsi="Calibri"/>
          <w:b/>
          <w:bCs/>
          <w:color w:val="142544"/>
          <w:sz w:val="22"/>
          <w:szCs w:val="22"/>
        </w:rPr>
        <w:t xml:space="preserve">Objections (and how to address them)</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4680"/>
        <w:gridCol w:w="4680"/>
      </w:tblGrid>
      <w:tr>
        <w:trPr>
          <w:tblHeader/>
        </w:trPr>
        <w:tc>
          <w:tcPr>
            <w:tcW w:type="dxa" w:w="468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Objection</w:t>
            </w:r>
          </w:p>
        </w:tc>
        <w:tc>
          <w:tcPr>
            <w:tcW w:type="dxa" w:w="468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Response Strategy</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"Isn't this just another app collecting my data?" (the core trust paradox)</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Lead with radical transparency: publish exactly what data is accessed and why, minimal-permission design, and (over time) third-party security audits</w:t>
            </w:r>
          </w:p>
        </w:tc>
      </w:tr>
      <w:tr>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"Why pay when Google/Apple already show privacy dashboards for free?"</w:t>
            </w:r>
          </w:p>
        </w:tc>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Differentiate on cross-app aggregation, plain-language risk scoring, and actionable next steps — not raw settings</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 don't understand the tech jargon anyway"</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Design principle: every insight must be explainable in one plain sentence with a single clear action</w:t>
            </w:r>
          </w:p>
        </w:tc>
      </w:tr>
      <w:tr>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"It's not urgent / nothing bad has happened to me yet"</w:t>
            </w:r>
          </w:p>
        </w:tc>
        <w:tc>
          <w:tcPr>
            <w:tcW w:type="dxa" w:w="468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Use trigger-based marketing (breach news, spam surges) rather than always-on urgency messaging</w:t>
            </w:r>
          </w:p>
        </w:tc>
      </w:tr>
      <w:tr>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 can't justify paying for this in rupees"</w:t>
            </w:r>
          </w:p>
        </w:tc>
        <w:tc>
          <w:tcPr>
            <w:tcW w:type="dxa" w:w="468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Freemium core scan free forever; monetize advanced monitoring, family plans, and continuous protection</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11. Customer Journey</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500"/>
        <w:gridCol w:w="3160"/>
        <w:gridCol w:w="2400"/>
        <w:gridCol w:w="2300"/>
      </w:tblGrid>
      <w:tr>
        <w:trPr>
          <w:tblHeader/>
        </w:trPr>
        <w:tc>
          <w:tcPr>
            <w:tcW w:type="dxa" w:w="15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Stage</w:t>
            </w:r>
          </w:p>
        </w:tc>
        <w:tc>
          <w:tcPr>
            <w:tcW w:type="dxa" w:w="31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User State of Mind</w:t>
            </w:r>
          </w:p>
        </w:tc>
        <w:tc>
          <w:tcPr>
            <w:tcW w:type="dxa" w:w="24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Touchpoint</w:t>
            </w:r>
          </w:p>
        </w:tc>
        <w:tc>
          <w:tcPr>
            <w:tcW w:type="dxa" w:w="23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PrivacyGuard AI Opportunity</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Awareness</w:t>
            </w:r>
          </w:p>
        </w:tc>
        <w:tc>
          <w:tcPr>
            <w:tcW w:type="dxa" w:w="3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Sees breach news / hears about privacy risk</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Social media, campus word-of-mouth, search</w:t>
            </w:r>
          </w:p>
        </w:tc>
        <w:tc>
          <w:tcPr>
            <w:tcW w:type="dxa" w:w="23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Simple explainer content, shareable 'privacy score' concept</w:t>
            </w:r>
          </w:p>
        </w:tc>
      </w:tr>
      <w:tr>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Consideration</w:t>
            </w:r>
          </w:p>
        </w:tc>
        <w:tc>
          <w:tcPr>
            <w:tcW w:type="dxa" w:w="3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Curious but skeptical of another app</w:t>
            </w:r>
          </w:p>
        </w:tc>
        <w:tc>
          <w:tcPr>
            <w:tcW w:type="dxa" w:w="2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Landing page, app store listing, reviews</w:t>
            </w:r>
          </w:p>
        </w:tc>
        <w:tc>
          <w:tcPr>
            <w:tcW w:type="dxa" w:w="23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Transparent 'what we access and why' messaging</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Trial / sign-up</w:t>
            </w:r>
          </w:p>
        </w:tc>
        <w:tc>
          <w:tcPr>
            <w:tcW w:type="dxa" w:w="3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Wants a quick, low-effort first result</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Onboarding flow, first scan</w:t>
            </w:r>
          </w:p>
        </w:tc>
        <w:tc>
          <w:tcPr>
            <w:tcW w:type="dxa" w:w="23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Fast, free first scan with an immediate, understandable score</w:t>
            </w:r>
          </w:p>
        </w:tc>
      </w:tr>
      <w:tr>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Activation</w:t>
            </w:r>
          </w:p>
        </w:tc>
        <w:tc>
          <w:tcPr>
            <w:tcW w:type="dxa" w:w="3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Sees personal risk data for the first time</w:t>
            </w:r>
          </w:p>
        </w:tc>
        <w:tc>
          <w:tcPr>
            <w:tcW w:type="dxa" w:w="2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In-app dashboard</w:t>
            </w:r>
          </w:p>
        </w:tc>
        <w:tc>
          <w:tcPr>
            <w:tcW w:type="dxa" w:w="23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One-tap fixes for the top 2-3 risks, not an overwhelming list</w:t>
            </w:r>
          </w:p>
        </w:tc>
      </w:tr>
      <w:tr>
        <w:tc>
          <w:tcPr>
            <w:tcW w:type="dxa" w:w="15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Habit</w:t>
            </w:r>
          </w:p>
        </w:tc>
        <w:tc>
          <w:tcPr>
            <w:tcW w:type="dxa" w:w="31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Wants ongoing peace of mind</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Push notifications, periodic re-scans</w:t>
            </w:r>
          </w:p>
        </w:tc>
        <w:tc>
          <w:tcPr>
            <w:tcW w:type="dxa" w:w="23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Lightweight monthly check-ins, not nagging</w:t>
            </w:r>
          </w:p>
        </w:tc>
      </w:tr>
      <w:tr>
        <w:tc>
          <w:tcPr>
            <w:tcW w:type="dxa" w:w="15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Advocacy</w:t>
            </w:r>
          </w:p>
        </w:tc>
        <w:tc>
          <w:tcPr>
            <w:tcW w:type="dxa" w:w="31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Feels safer, wants to help friends/family</w:t>
            </w:r>
          </w:p>
        </w:tc>
        <w:tc>
          <w:tcPr>
            <w:tcW w:type="dxa" w:w="2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Referral flow, family plan prompt</w:t>
            </w:r>
          </w:p>
        </w:tc>
        <w:tc>
          <w:tcPr>
            <w:tcW w:type="dxa" w:w="23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Simple referral incentive + family/parent plan upsell</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12. Risk Assessment</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1200"/>
        <w:gridCol w:w="1200"/>
        <w:gridCol w:w="4360"/>
      </w:tblGrid>
      <w:tr>
        <w:trPr>
          <w:tblHeader/>
        </w:trPr>
        <w:tc>
          <w:tcPr>
            <w:tcW w:type="dxa" w:w="26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12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Likelihood</w:t>
            </w:r>
          </w:p>
        </w:tc>
        <w:tc>
          <w:tcPr>
            <w:tcW w:type="dxa" w:w="12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Impact</w:t>
            </w:r>
          </w:p>
        </w:tc>
        <w:tc>
          <w:tcPr>
            <w:tcW w:type="dxa" w:w="43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Mitigation</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Trust paradox — a privacy app itself asking for data access</w:t>
            </w:r>
          </w:p>
        </w:tc>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43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Minimal-permission architecture, transparent data policy, independent audits as soon as feasible</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Low willingness to pay for privacy/security software in India</w:t>
            </w:r>
          </w:p>
        </w:tc>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43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Freemium model; explore B2B2C channels (employers, colleges, fintechs) with higher willingness to pay</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Global players (Aura, Incogni) or Big Tech entering India aggressively</w:t>
            </w:r>
          </w:p>
        </w:tc>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B7791F"/>
                <w:sz w:val="19"/>
                <w:szCs w:val="19"/>
              </w:rPr>
              <w:t xml:space="preserve">Medium</w:t>
            </w:r>
          </w:p>
        </w:tc>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43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Move fast on India-specific localization (language, DPDP Act alignment, local app ecosystem) that global players are slow to build</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Regulatory complexity as DPDP Act rules continue to evolve</w:t>
            </w:r>
          </w:p>
        </w:tc>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B7791F"/>
                <w:sz w:val="19"/>
                <w:szCs w:val="19"/>
              </w:rPr>
              <w:t xml:space="preserve">Medium</w:t>
            </w:r>
          </w:p>
        </w:tc>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B7791F"/>
                <w:sz w:val="19"/>
                <w:szCs w:val="19"/>
              </w:rPr>
              <w:t xml:space="preserve">Medium</w:t>
            </w:r>
          </w:p>
        </w:tc>
        <w:tc>
          <w:tcPr>
            <w:tcW w:type="dxa" w:w="43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Build compliance-first architecture; consult legal counsel before handling sensitive data at scale</w:t>
            </w:r>
          </w:p>
        </w:tc>
      </w:tr>
      <w:tr>
        <w:tc>
          <w:tcPr>
            <w:tcW w:type="dxa" w:w="2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Technical difficulty accurately mapping real data-sharing behavior</w:t>
            </w:r>
          </w:p>
        </w:tc>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B7791F"/>
                <w:sz w:val="19"/>
                <w:szCs w:val="19"/>
              </w:rPr>
              <w:t xml:space="preserve">Medium</w:t>
            </w:r>
          </w:p>
        </w:tc>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43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Start narrow (e.g., permissions audit + breach-exposure check) before attempting full behavioral analysis</w:t>
            </w:r>
          </w:p>
        </w:tc>
      </w:tr>
      <w:tr>
        <w:tc>
          <w:tcPr>
            <w:tcW w:type="dxa" w:w="2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Solo, early-career founder execution risk (no team, no funding yet)</w:t>
            </w:r>
          </w:p>
        </w:tc>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C0392B"/>
                <w:sz w:val="19"/>
                <w:szCs w:val="19"/>
              </w:rPr>
              <w:t xml:space="preserve">High</w:t>
            </w:r>
          </w:p>
        </w:tc>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B7791F"/>
                <w:sz w:val="19"/>
                <w:szCs w:val="19"/>
              </w:rPr>
              <w:t xml:space="preserve">Medium</w:t>
            </w:r>
          </w:p>
        </w:tc>
        <w:tc>
          <w:tcPr>
            <w:tcW w:type="dxa" w:w="43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Recruit a technical co-founder or early collaborator; apply to student/startup accelerators for structure and support</w:t>
            </w:r>
          </w:p>
        </w:tc>
      </w:tr>
    </w:tbl>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13. Pivot Opportunities</w:t>
      </w:r>
    </w:p>
    <w:p>
      <w:pPr>
        <w:pStyle w:val="ListParagraph"/>
        <w:numPr>
          <w:ilvl w:val="0"/>
          <w:numId w:val="1"/>
        </w:numPr>
        <w:spacing w:after="80" w:line="264"/>
      </w:pPr>
      <w:r>
        <w:rPr>
          <w:rFonts w:ascii="Calibri" w:cs="Calibri" w:eastAsia="Calibri" w:hAnsi="Calibri"/>
          <w:color w:val="262626"/>
          <w:sz w:val="21"/>
          <w:szCs w:val="21"/>
        </w:rPr>
        <w:t xml:space="preserve">B2B2C compliance tooling: White-label privacy/DPDP-compliance dashboards sold to Indian banks, fintechs, and colleges — institutions have real budgets and regulatory pressure, unlike individual consumers.</w:t>
      </w:r>
    </w:p>
    <w:p>
      <w:pPr>
        <w:pStyle w:val="ListParagraph"/>
        <w:numPr>
          <w:ilvl w:val="0"/>
          <w:numId w:val="1"/>
        </w:numPr>
        <w:spacing w:after="80" w:line="264"/>
      </w:pPr>
      <w:r>
        <w:rPr>
          <w:rFonts w:ascii="Calibri" w:cs="Calibri" w:eastAsia="Calibri" w:hAnsi="Calibri"/>
          <w:color w:val="262626"/>
          <w:sz w:val="21"/>
          <w:szCs w:val="21"/>
        </w:rPr>
        <w:t xml:space="preserve">Family &amp; parental safety vertical: Reposition around parents monitoring children's digital exposure — a segment with demonstrably higher willingness to pay than general consumers.</w:t>
      </w:r>
    </w:p>
    <w:p>
      <w:pPr>
        <w:pStyle w:val="ListParagraph"/>
        <w:numPr>
          <w:ilvl w:val="0"/>
          <w:numId w:val="1"/>
        </w:numPr>
        <w:spacing w:after="80" w:line="264"/>
      </w:pPr>
      <w:r>
        <w:rPr>
          <w:rFonts w:ascii="Calibri" w:cs="Calibri" w:eastAsia="Calibri" w:hAnsi="Calibri"/>
          <w:color w:val="262626"/>
          <w:sz w:val="21"/>
          <w:szCs w:val="21"/>
        </w:rPr>
        <w:t xml:space="preserve">SMB DPDP Act compliance-lite tool: Many small Indian businesses will need basic data-protection compliance help but can't afford enterprise privacy-management software (OneTrust, TrustArc, etc.) — a simplified SMB tier is a realistic wedge.</w:t>
      </w:r>
    </w:p>
    <w:p>
      <w:pPr>
        <w:pStyle w:val="ListParagraph"/>
        <w:numPr>
          <w:ilvl w:val="0"/>
          <w:numId w:val="1"/>
        </w:numPr>
        <w:spacing w:after="80" w:line="264"/>
      </w:pPr>
      <w:r>
        <w:rPr>
          <w:rFonts w:ascii="Calibri" w:cs="Calibri" w:eastAsia="Calibri" w:hAnsi="Calibri"/>
          <w:color w:val="262626"/>
          <w:sz w:val="21"/>
          <w:szCs w:val="21"/>
        </w:rPr>
        <w:t xml:space="preserve">Privacy education / campus channel: Leverage your student network to build a privacy-literacy micro-course or certification, using it as both a distribution and monetization channel.</w:t>
      </w:r>
    </w:p>
    <w:p>
      <w:pPr>
        <w:pStyle w:val="ListParagraph"/>
        <w:numPr>
          <w:ilvl w:val="0"/>
          <w:numId w:val="1"/>
        </w:numPr>
        <w:spacing w:after="80" w:line="264"/>
      </w:pPr>
      <w:r>
        <w:rPr>
          <w:rFonts w:ascii="Calibri" w:cs="Calibri" w:eastAsia="Calibri" w:hAnsi="Calibri"/>
          <w:color w:val="262626"/>
          <w:sz w:val="21"/>
          <w:szCs w:val="21"/>
        </w:rPr>
        <w:t xml:space="preserve">Partnership/bundling: Integrate with cyber-insurance or identity-theft-protection providers entering India as a value-added feature rather than a standalone paid product.</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14. Go / No-Go Recommendation</w:t>
      </w:r>
    </w:p>
    <w:tbl>
      <w:tblPr>
        <w:tblW w:type="dxa" w:w="9360"/>
        <w:tblBorders>
          <w:top w:val="single" w:color="B7791F" w:sz="8"/>
          <w:left w:val="single" w:color="B7791F" w:sz="8"/>
          <w:bottom w:val="single" w:color="B7791F" w:sz="8"/>
          <w:right w:val="single" w:color="B7791F" w:sz="8"/>
          <w:insideH w:val="single" w:color="B7791F" w:sz="8"/>
          <w:insideV w:val="single" w:color="B7791F" w:sz="8"/>
        </w:tblBorders>
      </w:tblPr>
      <w:tblGrid>
        <w:gridCol w:w="100"/>
      </w:tblGrid>
      <w:tr>
        <w:tc>
          <w:tcPr>
            <w:tcW w:type="dxa" w:w="9360"/>
            <w:shd w:fill="B7791F" w:color="auto" w:val="clear"/>
            <w:tcMar>
              <w:top w:type="dxa" w:w="220"/>
              <w:left w:type="dxa" w:w="240"/>
              <w:bottom w:type="dxa" w:w="220"/>
              <w:right w:type="dxa" w:w="240"/>
            </w:tcMar>
          </w:tcPr>
          <w:p>
            <w:pPr>
              <w:jc w:val="center"/>
            </w:pPr>
            <w:r>
              <w:rPr>
                <w:rFonts w:ascii="Calibri" w:cs="Calibri" w:eastAsia="Calibri" w:hAnsi="Calibri"/>
                <w:b/>
                <w:bCs/>
                <w:color w:val="FFFFFF"/>
                <w:sz w:val="26"/>
                <w:szCs w:val="26"/>
              </w:rPr>
              <w:t xml:space="preserve">VERDICT: CONDITIONAL GO — VALIDATE BEFORE YOU BUILD</w:t>
            </w:r>
          </w:p>
        </w:tc>
      </w:tr>
    </w:tbl>
    <w:p>
      <w:pPr>
        <w:spacing w:after="14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3600"/>
        <w:gridCol w:w="1400"/>
        <w:gridCol w:w="4360"/>
      </w:tblGrid>
      <w:tr>
        <w:trPr>
          <w:tblHeader/>
        </w:trPr>
        <w:tc>
          <w:tcPr>
            <w:tcW w:type="dxa" w:w="36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Criteria</w:t>
            </w:r>
          </w:p>
        </w:tc>
        <w:tc>
          <w:tcPr>
            <w:tcW w:type="dxa" w:w="14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Score (/10)</w:t>
            </w:r>
          </w:p>
        </w:tc>
        <w:tc>
          <w:tcPr>
            <w:tcW w:type="dxa" w:w="43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Rationale</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Problem clarity &amp; urgency</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7</w:t>
            </w:r>
          </w:p>
        </w:tc>
        <w:tc>
          <w:tcPr>
            <w:tcW w:type="dxa" w:w="43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Real, growing problem; urgency currently moderate for most users</w:t>
            </w:r>
          </w:p>
        </w:tc>
      </w:tr>
      <w:tr>
        <w:tc>
          <w:tcPr>
            <w:tcW w:type="dxa" w:w="3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Market size &amp; timing</w:t>
            </w:r>
          </w:p>
        </w:tc>
        <w:tc>
          <w:tcPr>
            <w:tcW w:type="dxa" w:w="1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7</w:t>
            </w:r>
          </w:p>
        </w:tc>
        <w:tc>
          <w:tcPr>
            <w:tcW w:type="dxa" w:w="43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Large global category, strong India tailwind (DPDP Act), but consumer segment unproven locally</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Competitive differentiation potential</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7</w:t>
            </w:r>
          </w:p>
        </w:tc>
        <w:tc>
          <w:tcPr>
            <w:tcW w:type="dxa" w:w="43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Clear India-first, education-led gap versus existing removal-focused competitors</w:t>
            </w:r>
          </w:p>
        </w:tc>
      </w:tr>
      <w:tr>
        <w:tc>
          <w:tcPr>
            <w:tcW w:type="dxa" w:w="3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Founder-market fit</w:t>
            </w:r>
          </w:p>
        </w:tc>
        <w:tc>
          <w:tcPr>
            <w:tcW w:type="dxa" w:w="1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5.7</w:t>
            </w:r>
          </w:p>
        </w:tc>
        <w:tc>
          <w:tcPr>
            <w:tcW w:type="dxa" w:w="43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Strong passion, moderate execution readiness, low current network/credibility</w:t>
            </w:r>
          </w:p>
        </w:tc>
      </w:tr>
      <w:tr>
        <w:tc>
          <w:tcPr>
            <w:tcW w:type="dxa" w:w="36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Monetization clarity</w:t>
            </w:r>
          </w:p>
        </w:tc>
        <w:tc>
          <w:tcPr>
            <w:tcW w:type="dxa" w:w="1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4</w:t>
            </w:r>
          </w:p>
        </w:tc>
        <w:tc>
          <w:tcPr>
            <w:tcW w:type="dxa" w:w="43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India willingness-to-pay for privacy tools is unproven and historically weak</w:t>
            </w:r>
          </w:p>
        </w:tc>
      </w:tr>
      <w:tr>
        <w:tc>
          <w:tcPr>
            <w:tcW w:type="dxa" w:w="36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Existing validation evidence</w:t>
            </w:r>
          </w:p>
        </w:tc>
        <w:tc>
          <w:tcPr>
            <w:tcW w:type="dxa" w:w="1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3</w:t>
            </w:r>
          </w:p>
        </w:tc>
        <w:tc>
          <w:tcPr>
            <w:tcW w:type="dxa" w:w="43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Idea stage only — no interviews, landing page, or waitlist yet</w:t>
            </w:r>
          </w:p>
        </w:tc>
      </w:tr>
    </w:tbl>
    <w:p>
      <w:pPr>
        <w:spacing w:after="140"/>
      </w:pPr>
    </w:p>
    <w:p>
      <w:pPr>
        <w:spacing w:after="100" w:before="200"/>
      </w:pPr>
      <w:r>
        <w:rPr>
          <w:rFonts w:ascii="Calibri" w:cs="Calibri" w:eastAsia="Calibri" w:hAnsi="Calibri"/>
          <w:b/>
          <w:bCs/>
          <w:color w:val="142544"/>
          <w:sz w:val="22"/>
          <w:szCs w:val="22"/>
        </w:rPr>
        <w:t xml:space="preserve">What Would Move This to a Full GO</w:t>
      </w:r>
    </w:p>
    <w:p>
      <w:pPr>
        <w:pStyle w:val="ListParagraph"/>
        <w:numPr>
          <w:ilvl w:val="0"/>
          <w:numId w:val="1"/>
        </w:numPr>
        <w:spacing w:after="80" w:line="264"/>
      </w:pPr>
      <w:r>
        <w:rPr>
          <w:rFonts w:ascii="Calibri" w:cs="Calibri" w:eastAsia="Calibri" w:hAnsi="Calibri"/>
          <w:color w:val="262626"/>
          <w:sz w:val="21"/>
          <w:szCs w:val="21"/>
        </w:rPr>
        <w:t xml:space="preserve">20-30 structured customer interviews with your defined ICP, testing willingness to pay explicitly</w:t>
      </w:r>
    </w:p>
    <w:p>
      <w:pPr>
        <w:pStyle w:val="ListParagraph"/>
        <w:numPr>
          <w:ilvl w:val="0"/>
          <w:numId w:val="1"/>
        </w:numPr>
        <w:spacing w:after="80" w:line="264"/>
      </w:pPr>
      <w:r>
        <w:rPr>
          <w:rFonts w:ascii="Calibri" w:cs="Calibri" w:eastAsia="Calibri" w:hAnsi="Calibri"/>
          <w:color w:val="262626"/>
          <w:sz w:val="21"/>
          <w:szCs w:val="21"/>
        </w:rPr>
        <w:t xml:space="preserve">A landing page + waitlist generating measurable signup and referral activity</w:t>
      </w:r>
    </w:p>
    <w:p>
      <w:pPr>
        <w:pStyle w:val="ListParagraph"/>
        <w:numPr>
          <w:ilvl w:val="0"/>
          <w:numId w:val="1"/>
        </w:numPr>
        <w:spacing w:after="80" w:line="264"/>
      </w:pPr>
      <w:r>
        <w:rPr>
          <w:rFonts w:ascii="Calibri" w:cs="Calibri" w:eastAsia="Calibri" w:hAnsi="Calibri"/>
          <w:color w:val="262626"/>
          <w:sz w:val="21"/>
          <w:szCs w:val="21"/>
        </w:rPr>
        <w:t xml:space="preserve">A narrow, single-feature MVP (e.g., a permissions/data-exposure scanner) tested with real users</w:t>
      </w:r>
    </w:p>
    <w:p>
      <w:pPr>
        <w:pStyle w:val="ListParagraph"/>
        <w:numPr>
          <w:ilvl w:val="0"/>
          <w:numId w:val="1"/>
        </w:numPr>
        <w:spacing w:after="80" w:line="264"/>
      </w:pPr>
      <w:r>
        <w:rPr>
          <w:rFonts w:ascii="Calibri" w:cs="Calibri" w:eastAsia="Calibri" w:hAnsi="Calibri"/>
          <w:color w:val="262626"/>
          <w:sz w:val="21"/>
          <w:szCs w:val="21"/>
        </w:rPr>
        <w:t xml:space="preserve">Evidence of at least one viable monetization path (freemium conversion, or a B2B2C pilot conversation)</w:t>
      </w:r>
    </w:p>
    <w:p>
      <w:pPr>
        <w:pStyle w:val="Heading1"/>
        <w:pageBreakBefore/>
        <w:pBdr>
          <w:bottom w:val="single" w:color="B08D2B" w:sz="12" w:space="6"/>
        </w:pBdr>
        <w:spacing w:after="240" w:before="0"/>
      </w:pPr>
      <w:r>
        <w:rPr>
          <w:rFonts w:ascii="Calibri" w:cs="Calibri" w:eastAsia="Calibri" w:hAnsi="Calibri"/>
          <w:b/>
          <w:bCs/>
          <w:color w:val="1F3864"/>
          <w:sz w:val="34"/>
          <w:szCs w:val="34"/>
        </w:rPr>
        <w:t xml:space="preserve">15. 30-Day Action Plan</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200"/>
        <w:gridCol w:w="2400"/>
        <w:gridCol w:w="5760"/>
      </w:tblGrid>
      <w:tr>
        <w:trPr>
          <w:tblHeader/>
        </w:trPr>
        <w:tc>
          <w:tcPr>
            <w:tcW w:type="dxa" w:w="12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Week</w:t>
            </w:r>
          </w:p>
        </w:tc>
        <w:tc>
          <w:tcPr>
            <w:tcW w:type="dxa" w:w="240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Focus</w:t>
            </w:r>
          </w:p>
        </w:tc>
        <w:tc>
          <w:tcPr>
            <w:tcW w:type="dxa" w:w="5760"/>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Actions</w:t>
            </w:r>
          </w:p>
        </w:tc>
      </w:tr>
      <w:tr>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Week 1</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Problem validation</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Run 20-30 structured interviews with target ICP (students, young professionals); publish a one-page landing site with a clear value proposition and email waitlist; write a single-sentence value proposition and test it with 10 people</w:t>
            </w:r>
          </w:p>
        </w:tc>
      </w:tr>
      <w:tr>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Week 2</w:t>
            </w:r>
          </w:p>
        </w:tc>
        <w:tc>
          <w:tcPr>
            <w:tcW w:type="dxa" w:w="2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Competitive &amp; pricing research</w:t>
            </w:r>
          </w:p>
        </w:tc>
        <w:tc>
          <w:tcPr>
            <w:tcW w:type="dxa" w:w="57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Deep-dive DeleteMe, Incogni, Aura, Mozilla Monitor pricing/features; define India-specific pricing hypothesis; scope one core MVP feature (e.g., 'app permissions &amp; exposure scan')</w:t>
            </w:r>
          </w:p>
        </w:tc>
      </w:tr>
      <w:tr>
        <w:tc>
          <w:tcPr>
            <w:tcW w:type="dxa" w:w="12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Week 3</w:t>
            </w:r>
          </w:p>
        </w:tc>
        <w:tc>
          <w:tcPr>
            <w:tcW w:type="dxa" w:w="240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Lightweight prototype &amp; pilot</w:t>
            </w:r>
          </w:p>
        </w:tc>
        <w:tc>
          <w:tcPr>
            <w:tcW w:type="dxa" w:w="5760"/>
            <w:shd w:fill="FFFFFF"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Build a clickable prototype (Figma) or an ultra-lean MVP (single-feature web tool); test with 10-15 users; hold 5 explicit pricing conversations to test willingness to pay</w:t>
            </w:r>
          </w:p>
        </w:tc>
      </w:tr>
      <w:tr>
        <w:tc>
          <w:tcPr>
            <w:tcW w:type="dxa" w:w="12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Week 4</w:t>
            </w:r>
          </w:p>
        </w:tc>
        <w:tc>
          <w:tcPr>
            <w:tcW w:type="dxa" w:w="240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Decision &amp; next steps</w:t>
            </w:r>
          </w:p>
        </w:tc>
        <w:tc>
          <w:tcPr>
            <w:tcW w:type="dxa" w:w="5760"/>
            <w:shd w:fill="F2F2F2" w:color="auto" w:val="clear"/>
            <w:tcMar>
              <w:top w:type="dxa" w:w="90"/>
              <w:left w:type="dxa" w:w="120"/>
              <w:bottom w:type="dxa" w:w="90"/>
              <w:right w:type="dxa" w:w="120"/>
            </w:tcMar>
            <w:vAlign w:val="center"/>
          </w:tcPr>
          <w:p>
            <w:r>
              <w:rPr>
                <w:rFonts w:ascii="Calibri" w:cs="Calibri" w:eastAsia="Calibri" w:hAnsi="Calibri"/>
                <w:b w:val="false"/>
                <w:bCs w:val="false"/>
                <w:color w:val="262626"/>
                <w:sz w:val="19"/>
                <w:szCs w:val="19"/>
              </w:rPr>
              <w:t xml:space="preserve">Analyze interview and waitlist data; refine ICP, persona, and pricing; make a formal GO / NO-GO / PIVOT decision; if GO, prepare a one-pager for accelerator or pre-seed conversations</w:t>
            </w:r>
          </w:p>
        </w:tc>
      </w:tr>
    </w:tbl>
    <w:p>
      <w:pPr>
        <w:spacing w:after="160"/>
      </w:pP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100"/>
      </w:tblGrid>
      <w:tr>
        <w:tc>
          <w:tcPr>
            <w:tcW w:type="dxa" w:w="9360"/>
            <w:shd w:fill="F2F2F2" w:color="auto" w:val="clear"/>
            <w:tcMar>
              <w:top w:type="dxa" w:w="160"/>
              <w:left w:type="dxa" w:w="200"/>
              <w:bottom w:type="dxa" w:w="160"/>
              <w:right w:type="dxa" w:w="200"/>
            </w:tcMar>
          </w:tcPr>
          <w:p>
            <w:pPr>
              <w:spacing w:after="60"/>
            </w:pPr>
            <w:r>
              <w:rPr>
                <w:rFonts w:ascii="Calibri" w:cs="Calibri" w:eastAsia="Calibri" w:hAnsi="Calibri"/>
                <w:b/>
                <w:bCs/>
                <w:color w:val="1F3864"/>
                <w:sz w:val="19"/>
                <w:szCs w:val="19"/>
              </w:rPr>
              <w:t xml:space="preserve">FINAL NOTE</w:t>
            </w:r>
          </w:p>
          <w:p>
            <w:r>
              <w:rPr>
                <w:rFonts w:ascii="Calibri" w:cs="Calibri" w:eastAsia="Calibri" w:hAnsi="Calibri"/>
                <w:color w:val="262626"/>
                <w:sz w:val="21"/>
                <w:szCs w:val="21"/>
              </w:rPr>
              <w:t xml:space="preserve">This report converts a promising, personally-motivated idea into a structured test plan. The category is real and the timing in India is favorable — but the next 30 days of direct user contact matter more than any additional research or planning. Prioritize talking to real users over building.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5"/>
        <w:szCs w:val="15"/>
      </w:rPr>
      <w:t xml:space="preserve">Page </w:t>
    </w:r>
    <w:r>
      <w:rPr>
        <w:rFonts w:ascii="Calibri" w:cs="Calibri" w:eastAsia="Calibri" w:hAnsi="Calibri"/>
        <w:color w:val="808080"/>
        <w:sz w:val="15"/>
        <w:szCs w:val="15"/>
      </w:rPr>
      <w:fldChar w:fldCharType="begin"/>
      <w:instrText xml:space="preserve">PAGE</w:instrText>
      <w:fldChar w:fldCharType="separate"/>
      <w:fldChar w:fldCharType="end"/>
    </w:r>
    <w:r>
      <w:rPr>
        <w:rFonts w:ascii="Calibri" w:cs="Calibri" w:eastAsia="Calibri" w:hAnsi="Calibri"/>
        <w:color w:val="808080"/>
        <w:sz w:val="15"/>
        <w:szCs w:val="15"/>
      </w:rPr>
      <w:t xml:space="preserve"> of </w:t>
    </w:r>
    <w:r>
      <w:rPr>
        <w:rFonts w:ascii="Calibri" w:cs="Calibri" w:eastAsia="Calibri" w:hAnsi="Calibri"/>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5"/>
        <w:szCs w:val="15"/>
      </w:rPr>
      <w:t xml:space="preserve">PrivacyGuard AI — Startup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2026-07-30T18:52:03.329Z</dcterms:created>
  <dcterms:modified xsi:type="dcterms:W3CDTF">2026-07-30T18:52:03.342Z</dcterms:modified>
</cp:coreProperties>
</file>

<file path=docProps/custom.xml><?xml version="1.0" encoding="utf-8"?>
<Properties xmlns="http://schemas.openxmlformats.org/officeDocument/2006/custom-properties" xmlns:vt="http://schemas.openxmlformats.org/officeDocument/2006/docPropsVTypes"/>
</file>