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2563eb"/>
          <w:sz w:val="30"/>
          <w:szCs w:val="30"/>
        </w:rPr>
        <w:t xml:space="preserve">BUSINESS STRATEGY &amp; INVESTABILITY REPORT</w:t>
      </w:r>
    </w:p>
    <w:p>
      <w:pPr>
        <w:spacing w:after="100"/>
        <w:jc w:val="center"/>
      </w:pPr>
      <w:r>
        <w:rPr>
          <w:b/>
          <w:bCs/>
          <w:color w:val="0f172a"/>
          <w:sz w:val="56"/>
          <w:szCs w:val="56"/>
        </w:rPr>
        <w:t xml:space="preserve">PrivacyGuard AI</w:t>
      </w:r>
    </w:p>
    <w:p>
      <w:pPr>
        <w:spacing w:after="600"/>
        <w:jc w:val="center"/>
      </w:pPr>
      <w:r>
        <w:rPr>
          <w:i/>
          <w:iCs/>
          <w:color w:val="64748b"/>
          <w:sz w:val="24"/>
          <w:szCs w:val="24"/>
        </w:rPr>
        <w:t xml:space="preserve">AI-Powered Digital Footprint &amp; Privacy Risk Platform</w:t>
      </w:r>
    </w:p>
    <w:p>
      <w:pPr>
        <w:spacing w:after="60"/>
        <w:jc w:val="center"/>
      </w:pPr>
      <w:r>
        <w:rPr>
          <w:sz w:val="20"/>
          <w:szCs w:val="20"/>
        </w:rPr>
        <w:t xml:space="preserve">Prepared as: AI Co-Founder / Growth Strategist / YC Advisor Review</w:t>
      </w:r>
    </w:p>
    <w:p>
      <w:pPr>
        <w:spacing w:after="60"/>
        <w:jc w:val="center"/>
      </w:pPr>
      <w:r>
        <w:rPr>
          <w:sz w:val="20"/>
          <w:szCs w:val="20"/>
        </w:rPr>
        <w:t xml:space="preserve">Source: Day 23 Customer &amp; MVP Blueprint + Startup Validation Report</w:t>
      </w:r>
    </w:p>
    <w:p>
      <w:pPr>
        <w:spacing w:after="60"/>
        <w:jc w:val="center"/>
      </w:pPr>
      <w:r>
        <w:rPr>
          <w:sz w:val="20"/>
          <w:szCs w:val="20"/>
        </w:rPr>
        <w:t xml:space="preserve">Date: August 1, 2026</w:t>
      </w:r>
    </w:p>
    <w:p>
      <w:pPr>
        <w:spacing w:before="1400"/>
        <w:jc w:val="center"/>
      </w:pPr>
      <w:r>
        <w:rPr>
          <w:i/>
          <w:iCs/>
          <w:color w:val="64748b"/>
          <w:sz w:val="18"/>
          <w:szCs w:val="18"/>
        </w:rPr>
        <w:t xml:space="preserve">Confidential — Prepared for Founder Use Only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0f172a"/>
        </w:rPr>
        <w:t xml:space="preserve">Table of Contents</w:t>
      </w:r>
    </w:p>
    <w:p>
      <w:pPr>
        <w:spacing w:after="140"/>
      </w:pPr>
      <w:r>
        <w:t xml:space="preserve">1. Executive Summary</w:t>
      </w:r>
    </w:p>
    <w:p>
      <w:pPr>
        <w:spacing w:after="140"/>
      </w:pPr>
      <w:r>
        <w:t xml:space="preserve">2. Startup Summary (Source Blueprint)</w:t>
      </w:r>
    </w:p>
    <w:p>
      <w:pPr>
        <w:spacing w:after="140"/>
      </w:pPr>
      <w:r>
        <w:t xml:space="preserve">3. Core Assumptions Extracted</w:t>
      </w:r>
    </w:p>
    <w:p>
      <w:pPr>
        <w:spacing w:after="140"/>
      </w:pPr>
      <w:r>
        <w:t xml:space="preserve">4. Business Reality Check</w:t>
      </w:r>
    </w:p>
    <w:p>
      <w:pPr>
        <w:spacing w:after="140"/>
      </w:pPr>
      <w:r>
        <w:t xml:space="preserve">5. Business Strategy Report</w:t>
      </w:r>
    </w:p>
    <w:p>
      <w:pPr>
        <w:spacing w:after="140"/>
      </w:pPr>
      <w:r>
        <w:t xml:space="preserve">   5.1 Business Model Canvas</w:t>
      </w:r>
    </w:p>
    <w:p>
      <w:pPr>
        <w:spacing w:after="140"/>
      </w:pPr>
      <w:r>
        <w:t xml:space="preserve">   5.2 Revenue &amp; Pricing Strategy</w:t>
      </w:r>
    </w:p>
    <w:p>
      <w:pPr>
        <w:spacing w:after="140"/>
      </w:pPr>
      <w:r>
        <w:t xml:space="preserve">   5.3 Go-To-Market Strategy</w:t>
      </w:r>
    </w:p>
    <w:p>
      <w:pPr>
        <w:spacing w:after="140"/>
      </w:pPr>
      <w:r>
        <w:t xml:space="preserve">   5.4 Customer Acquisition Strategy</w:t>
      </w:r>
    </w:p>
    <w:p>
      <w:pPr>
        <w:spacing w:after="140"/>
      </w:pPr>
      <w:r>
        <w:t xml:space="preserve">   5.5 First 100 Users Plan</w:t>
      </w:r>
    </w:p>
    <w:p>
      <w:pPr>
        <w:spacing w:after="140"/>
      </w:pPr>
      <w:r>
        <w:t xml:space="preserve">   5.6 Competitive Position &amp; Moat</w:t>
      </w:r>
    </w:p>
    <w:p>
      <w:pPr>
        <w:spacing w:after="140"/>
      </w:pPr>
      <w:r>
        <w:t xml:space="preserve">   5.7 Reverse SWOT Analysis</w:t>
      </w:r>
    </w:p>
    <w:p>
      <w:pPr>
        <w:spacing w:after="140"/>
      </w:pPr>
      <w:r>
        <w:t xml:space="preserve">   5.8 Investor One-Liner</w:t>
      </w:r>
    </w:p>
    <w:p>
      <w:pPr>
        <w:spacing w:after="140"/>
      </w:pPr>
      <w:r>
        <w:t xml:space="preserve">   5.9 30-Second Founder Pitch</w:t>
      </w:r>
    </w:p>
    <w:p>
      <w:pPr>
        <w:spacing w:after="140"/>
      </w:pPr>
      <w:r>
        <w:t xml:space="preserve">6. Investment Scorecard</w:t>
      </w:r>
    </w:p>
    <w:p>
      <w:pPr>
        <w:spacing w:after="140"/>
      </w:pPr>
      <w:r>
        <w:t xml:space="preserve">7. Visual Dashboard</w:t>
      </w:r>
    </w:p>
    <w:p>
      <w:pPr>
        <w:spacing w:after="140"/>
      </w:pPr>
      <w:r>
        <w:t xml:space="preserve">8. Founder Action Sheet — Top 10 Actions</w:t>
      </w:r>
    </w:p>
    <w:p>
      <w:pPr>
        <w:spacing w:after="140"/>
      </w:pPr>
      <w:r>
        <w:t xml:space="preserve">9. Sustainability Verdict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0f172a"/>
        </w:rPr>
        <w:t xml:space="preserve">1. Executive Summary</w:t>
      </w:r>
    </w:p>
    <w:p>
      <w:pPr>
        <w:spacing w:after="140"/>
      </w:pPr>
      <w:r>
        <w:t xml:space="preserve">PrivacyGuard AI is a concept-stage, India-first consumer app targeting a real and growing problem: people don't know which apps hold their data or how exposed they are. The category is validated at the macro level — global competitors (DeleteMe, Incogni, Aura) prove people will pay for privacy tools, and India's DPDP Act 2023 plus rising breach awareness create a genuine timing window. No India-first consumer privacy brand currently exists at scale.</w:t>
      </w:r>
    </w:p>
    <w:p>
      <w:pPr>
        <w:spacing w:after="140"/>
      </w:pPr>
      <w:r>
        <w:t xml:space="preserve">However, the venture has zero direct evidence today: no customer interviews, no landing page, no waitlist, no prototype, and no pricing conversations. The single biggest unresolved question is not whether the problem exists — it clearly does — but whether Indian consumers will pay for the solution, given a documented history of weak willingness-to-pay for consumer security/privacy software in this market.</w:t>
      </w:r>
    </w:p>
    <w:p>
      <w:pPr>
        <w:spacing w:after="140"/>
      </w:pPr>
      <w:r>
        <w:rPr>
          <w:b w:val="false"/>
          <w:bCs w:val="false"/>
        </w:rPr>
        <w:t xml:space="preserve">This report evaluates PrivacyGuard AI against revenue potential, distribution strength, evidence quality, and execution readiness — not feature completeness. The verdict: this is a Validate-stage opportunity, not an Investable one. The next 30 days of direct customer contact (interviews, a landing page, and 5 real pricing conversations) will determine whether it becomes fundable.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0f172a"/>
        </w:rPr>
        <w:t xml:space="preserve">2. Startup Summary (Source Blueprint)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Product: An AI-powered app-permissions and data-exposure scanner that outputs a plain-language "privacy score" plus 2–3 one-tap fixes for a non-technical Indian audience.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Market: India first (DPDP Act 2023 tailwind, 850M+ smartphone users), with a longer-term path into US/Canada/UK/Australia/Europe.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customer: 18–35 urban Indians — students, early-career professionals, freelancers — active on 10+ apps daily, moderate-to-high digital literacy but low privacy-settings literacy.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Competitive gap: DeleteMe, Incogni, Aura and Mozilla Monitor are US-priced ($8–15/mo), removal-focused, and jargon-heavy; none are India-first, education-led, or priced for local willingness-to-pay.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Stage: Idea/concept only. No interviews, landing page, prototype, or paying users exist as of this report.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Founder-market fit: Moderate (5.7/10) — genuine domain passion, but low current network access, low credibility signal in a trust-sensitive category, and no prior validation effort completed.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Sizing: TAM ~$33B (global), SAM ~$10B (launch geographies), SOM ~$0.4M–$3M ARR realistic 3-year India beachhead — small and consumer-price-sensitive relative to the ambition.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Stated verdict in source materials: "Promising but Unvalidated" / "Conditional GO — validate before you build."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0f172a"/>
        </w:rPr>
        <w:t xml:space="preserve">3. Core Assumptions Extracted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00"/>
        <w:gridCol w:w="2580"/>
      </w:tblGrid>
      <w:tr>
        <w:trPr>
          <w:tblHeader/>
        </w:trPr>
        <w:tc>
          <w:tcPr>
            <w:tcW w:type="dxa" w:w="2200"/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5300"/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Stated Assumption</w:t>
            </w:r>
          </w:p>
        </w:tc>
        <w:tc>
          <w:tcPr>
            <w:tcW w:type="dxa" w:w="2580"/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Evidence Level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Customer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Priority-Curious Priya (24, urban India) will adopt a free scan and convert to ₹99–199/mo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Anecdotal only — no interviews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MVP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single-feature scanner + privacy score is enough to prove the core loop (scan → score → fix)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Reasoned, untested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Value proposition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Plain-language, India-priced transparency beats jargon-heavy, US-priced incumbents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Directionally plausible, unverified with users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Pricing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₹99–299/month freemium, 3–5x below US competitor pricing, is the right price point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Hypothesis — 0 pricing conversations held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Revenue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$0.4M–$3M ARR achievable in India within 3 years via freemium conversion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Top-down model, not bottom-up funnel data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GTM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Breach-news and spam-surge trigger content, campus word-of-mouth, and referral will drive signups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Unverified — no channel has been tested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>These are reasonable starting hypotheses, but every one of them is currently unverified. The Founder Action Sheet in Section 8 exists to convert each of these into evidence.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0f172a"/>
        </w:rPr>
        <w:t xml:space="preserve">4. Business Reality Check</w:t>
      </w:r>
    </w:p>
    <w:p>
      <w:pPr>
        <w:pStyle w:val="Heading3"/>
        <w:spacing w:after="90" w:before="180"/>
      </w:pPr>
      <w:r>
        <w:rPr>
          <w:b/>
          <w:bCs/>
          <w:color w:val="1e293b"/>
        </w:rPr>
        <w:t xml:space="preserve">Who pays?</w:t>
      </w:r>
    </w:p>
    <w:p>
      <w:pPr>
        <w:spacing w:after="140"/>
      </w:pPr>
      <w:r>
        <w:t xml:space="preserve">Primary: individual Indian consumers (18–35, urban) on a freemium-to-paid subscription. Secondary and likely more reliable: institutions (colleges, fintechs, employers) via a B2B2C pilot, where budgets exist and DPDP compliance pressure gives a real "why now."</w:t>
      </w:r>
    </w:p>
    <w:p>
      <w:pPr>
        <w:pStyle w:val="Heading3"/>
        <w:spacing w:after="90" w:before="180"/>
      </w:pPr>
      <w:r>
        <w:rPr>
          <w:b/>
          <w:bCs/>
          <w:color w:val="1e293b"/>
        </w:rPr>
        <w:t xml:space="preserve">Why do they pay?</w:t>
      </w:r>
    </w:p>
    <w:p>
      <w:pPr>
        <w:spacing w:after="140"/>
      </w:pPr>
      <w:r>
        <w:t xml:space="preserve">For relief from a specific anxiety moment (breach news, spam-call surge) resolved by a fast, understandable first result — not for ongoing feature depth. The willingness to pay is trigger-based and emotional, not habitual, which favors point-in-time monetization (one-time or triggered upgrades) over a hard subscription assumption.</w:t>
      </w:r>
    </w:p>
    <w:p>
      <w:pPr>
        <w:pStyle w:val="Heading3"/>
        <w:spacing w:after="90" w:before="180"/>
      </w:pPr>
      <w:r>
        <w:rPr>
          <w:b/>
          <w:bCs/>
          <w:color w:val="1e293b"/>
        </w:rPr>
        <w:t xml:space="preserve">How will they discover the product?</w:t>
      </w:r>
    </w:p>
    <w:p>
      <w:pPr>
        <w:spacing w:after="140"/>
      </w:pPr>
      <w:r>
        <w:t xml:space="preserve">Realistically: founder-led manual outreach, campus/peer networks, and shareable "what's your privacy score" social content tied to breach news cycles. No paid acquisition budget or channel has been tested; discovery depends entirely on organic and referral mechanics working, which is unproven.</w:t>
      </w:r>
    </w:p>
    <w:p>
      <w:pPr>
        <w:pStyle w:val="Heading3"/>
        <w:spacing w:after="90" w:before="180"/>
      </w:pPr>
      <w:r>
        <w:rPr>
          <w:b/>
          <w:bCs/>
          <w:color w:val="1e293b"/>
        </w:rPr>
        <w:t xml:space="preserve">Biggest growth risks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tested acquisition channel — all GTM assumptions are theoretical.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single founder with a small network cannot manually source enough interviews or early users to reach statistical confidence quickly.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Category requires unusually high trust for a first-time, unknown brand to earn attention at all (the trust paradox).</w:t>
      </w:r>
    </w:p>
    <w:p>
      <w:pPr>
        <w:pStyle w:val="Heading3"/>
        <w:spacing w:after="90" w:before="180"/>
      </w:pPr>
      <w:r>
        <w:rPr>
          <w:b/>
          <w:bCs/>
          <w:color w:val="1e293b"/>
        </w:rPr>
        <w:t xml:space="preserve">Biggest monetization risks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India has a well-documented pattern of low consumer willingness-to-pay for privacy/security software specifically.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 alternatives exist (Google/Apple privacy dashboards, Mozilla Monitor) that partially cover the same anxiety at zero cost.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Freemium core-scan-free-forever model risks a large free tier with a thin paid conversion funnel if the "aha moment" isn't sharp enough.</w:t>
      </w:r>
    </w:p>
    <w:p>
      <w:pPr>
        <w:pStyle w:val="Heading3"/>
        <w:spacing w:after="90" w:before="180"/>
      </w:pPr>
      <w:r>
        <w:rPr>
          <w:b/>
          <w:bCs/>
          <w:color w:val="1e293b"/>
        </w:rPr>
        <w:t xml:space="preserve">Weakest assumptions to validate first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That users will pay anything at all — not just find the score interesting.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That a plain-language score is sufficiently differentiated from free platform dashboards to justify payment.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That referral/organic growth can reach meaningful volume without paid acquisition.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0f172a"/>
        </w:rPr>
        <w:t xml:space="preserve">5. Business Strategy Report</w:t>
      </w:r>
    </w:p>
    <w:p>
      <w:pPr>
        <w:pStyle w:val="Heading2"/>
        <w:spacing w:after="120" w:before="240"/>
      </w:pPr>
      <w:r>
        <w:rPr>
          <w:b/>
          <w:bCs/>
          <w:color w:val="2563eb"/>
        </w:rPr>
        <w:t xml:space="preserve">5.1 Business Model Canvas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Block</w:t>
            </w:r>
          </w:p>
        </w:tc>
        <w:tc>
          <w:tcPr>
            <w:tcW w:type="dxa" w:w="7680"/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Summary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Value Proposition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Fast, plain-language privacy score + top 2–3 one-tap fixes, built India-first with minimal-permission, radically transparent design.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Customer Segments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Primary: urban Indians 18–35, moderate digital literacy. Secondary: parents/families. Tertiary (B2B2C): colleges, fintechs, employers.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Channels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Organic social content on breach triggers, campus word-of-mouth, referral loop, direct outreach; B2B2C pilots as a distribution shortcut.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Customer Relationships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Self-serve freemium app with lightweight monthly check-ins; human-touch B2B2C pilot relationships for institutional deals.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Revenue Streams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Freemium subscription (₹99–299/mo), family/parental plan upsell, B2B2C licensing, future SMB DPDP-lite tier.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Key Resources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Founder technical ability, a lean scan engine, a transparent minimal-permission data policy, early trust signals/audits.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Key Activities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Build/iterate the scanner, run structured validation interviews, produce trigger-based content, manage trust/compliance posture.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Key Partners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None yet secured — potential: campus communities, fintech/college pilots, future cyber-insurance or identity-protection bundlers.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Cost Structure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Low capex — founder time, hosting, minimal-permission engineering; cost grows with credibility-building (audits, legal/DPDP counsel).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563eb"/>
        </w:rPr>
        <w:t xml:space="preserve">5.2 Revenue &amp; Pricing Strategy</w:t>
      </w:r>
    </w:p>
    <w:p>
      <w:pPr>
        <w:spacing w:after="140"/>
      </w:pPr>
      <w:r>
        <w:t xml:space="preserve">The pricing hypothesis (₹99–299/month freemium) is reasonable relative to US comparables, but pricing has never been tested in a real conversation. Two structural risks apply regardless of the exact number: (1) India's consumer security spend is historically thin, and (2) free platform-native alternatives create an anchor of $0.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00"/>
        <w:gridCol w:w="2680"/>
      </w:tblGrid>
      <w:tr>
        <w:trPr>
          <w:tblHeader/>
        </w:trPr>
        <w:tc>
          <w:tcPr>
            <w:tcW w:type="dxa" w:w="2600"/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Stream</w:t>
            </w:r>
          </w:p>
        </w:tc>
        <w:tc>
          <w:tcPr>
            <w:tcW w:type="dxa" w:w="4800"/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680"/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Confidence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Consumer freemium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₹99–299/mo for continuous monitoring, alerts, family coverage</w:t>
            </w:r>
          </w:p>
        </w:tc>
        <w:tc>
          <w:tcPr>
            <w:tcW w:type="dxa" w:w="2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Low — untested pricing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Family/parental plan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Higher ARPU bundle for household coverage</w:t>
            </w:r>
          </w:p>
        </w:tc>
        <w:tc>
          <w:tcPr>
            <w:tcW w:type="dxa" w:w="2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Low — not yet designed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B2B2C licensing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Per-seat or flat fee to colleges/fintechs/employers</w:t>
            </w:r>
          </w:p>
        </w:tc>
        <w:tc>
          <w:tcPr>
            <w:tcW w:type="dxa" w:w="2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Medium — institutions have budgets and a DPDP-driven reason to buy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SMB DPDP-lite (future)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Simplified compliance tier undercutting enterprise tools</w:t>
            </w:r>
          </w:p>
        </w:tc>
        <w:tc>
          <w:tcPr>
            <w:tcW w:type="dxa" w:w="2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Speculative — not scoped</w:t>
            </w:r>
          </w:p>
        </w:tc>
      </w:tr>
    </w:tbl>
    <w:p>
      <w:pPr>
        <w:spacing w:after="140"/>
      </w:pPr>
      <w:r>
        <w:t xml:space="preserve">Recommendation: treat B2B2C as the primary near-term revenue validation path — institutional buyers have both budget and a regulatory trigger (DPDP Act), which materially de-risks the weakest link in the consumer plan (willingness to pay).</w:t>
      </w:r>
    </w:p>
    <w:p>
      <w:pPr>
        <w:pStyle w:val="Heading2"/>
        <w:spacing w:after="120" w:before="240"/>
      </w:pPr>
      <w:r>
        <w:rPr>
          <w:b/>
          <w:bCs/>
          <w:color w:val="2563eb"/>
        </w:rPr>
        <w:t xml:space="preserve">5.3 Go-To-Market Strategy</w:t>
      </w:r>
    </w:p>
    <w:p>
      <w:pPr>
        <w:spacing w:after="140"/>
      </w:pPr>
      <w:r>
        <w:t xml:space="preserve">GTM should be sequenced around trigger events rather than always-on marketing, since the target persona is not chronically anxious about privacy — she reacts to specific incidents (a breach in the news, a spam-call spike). The flow: trigger → shareable content → transparent landing page → fast free scan → convert/refer. See the Visual Dashboard in Section 7 for the flow diagram.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 (Weeks 1–4): Manual, trigger-based outreach and interviews; no paid spend.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2 (Months 2–3): Landing page + waitlist live; content tied to real breach news cycles; first B2B2C pilot conversations opened.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3 (Months 4–6): Narrow MVP live with 100+ real users; referral loop tested; first paid conversions measured.</w:t>
      </w:r>
    </w:p>
    <w:p>
      <w:pPr>
        <w:pStyle w:val="Heading2"/>
        <w:spacing w:after="120" w:before="240"/>
      </w:pPr>
      <w:r>
        <w:rPr>
          <w:b/>
          <w:bCs/>
          <w:color w:val="2563eb"/>
        </w:rPr>
        <w:t xml:space="preserve">5.4 Customer Acquisition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Zero paid acquisition until organic/referral mechanics are proven — the founder cannot fund CAC experiments yet.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 with trust, not features: publish the minimal-permission data policy before asking for a single sign-up.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breach-news and spam-surge moments as the content calendar, not a generic drip campaign.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Treat every early user as an interview subject first, a user second — acquisition and validation should be the same motion for the first 90 days.</w:t>
      </w:r>
    </w:p>
    <w:p>
      <w:pPr>
        <w:pStyle w:val="Heading2"/>
        <w:spacing w:after="120" w:before="240"/>
      </w:pPr>
      <w:r>
        <w:rPr>
          <w:b/>
          <w:bCs/>
          <w:color w:val="2563eb"/>
        </w:rPr>
        <w:t xml:space="preserve">5.5 First 100 Users Plan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80"/>
        <w:gridCol w:w="4900"/>
      </w:tblGrid>
      <w:tr>
        <w:trPr>
          <w:tblHeader/>
        </w:trPr>
        <w:tc>
          <w:tcPr>
            <w:tcW w:type="dxa" w:w="3400"/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780"/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Users</w:t>
            </w:r>
          </w:p>
        </w:tc>
        <w:tc>
          <w:tcPr>
            <w:tcW w:type="dxa" w:w="4900"/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Direct founder outreach</w:t>
            </w:r>
          </w:p>
        </w:tc>
        <w:tc>
          <w:tcPr>
            <w:tcW w:type="dxa" w:w="1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1:1 messages to campus network + early-career contacts, framed as interviews first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Trigger-based social content</w:t>
            </w:r>
          </w:p>
        </w:tc>
        <w:tc>
          <w:tcPr>
            <w:tcW w:type="dxa" w:w="1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 tied to a real breach/spam news moment with a shareable "what's your score" hook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Campus/community shares</w:t>
            </w:r>
          </w:p>
        </w:tc>
        <w:tc>
          <w:tcPr>
            <w:tcW w:type="dxa" w:w="1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WhatsApp/Telegram/campus groups, positioned as a free tool, not a pitch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Referral from early users</w:t>
            </w:r>
          </w:p>
        </w:tc>
        <w:tc>
          <w:tcPr>
            <w:tcW w:type="dxa" w:w="1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Simple share-with-a-friend prompt after first scan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Micro-influencer / community post</w:t>
            </w:r>
          </w:p>
        </w:tc>
        <w:tc>
          <w:tcPr>
            <w:tcW w:type="dxa" w:w="1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 relevant student-community or tech micro-influencer mention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563eb"/>
        </w:rPr>
        <w:t xml:space="preserve">5.6 Competitive Position &amp; Moat</w:t>
      </w:r>
    </w:p>
    <w:p>
      <w:pPr>
        <w:spacing w:after="140"/>
      </w:pPr>
      <w:r>
        <w:t xml:space="preserve">Today PrivacyGuard AI has no moat — it has a positioning gap. DeleteMe, Incogni, and Aura are removal-focused, US-priced, and jargon-heavy; Mozilla Monitor is free but shallow. None are India-first. That gap is real, but a moat has to be built through trust, distribution, and local coverage — none of which exist yet.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280"/>
      </w:tblGrid>
      <w:tr>
        <w:trPr>
          <w:tblHeader/>
        </w:trPr>
        <w:tc>
          <w:tcPr>
            <w:tcW w:type="dxa" w:w="4800"/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Moat Candidate</w:t>
            </w:r>
          </w:p>
        </w:tc>
        <w:tc>
          <w:tcPr>
            <w:tcW w:type="dxa" w:w="5280"/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India-first pricing &amp; language</w:t>
            </w:r>
          </w:p>
        </w:tc>
        <w:tc>
          <w:tcPr>
            <w:tcW w:type="dxa" w:w="5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Planned, not built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Education-first UX (why exposed, not just removal)</w:t>
            </w:r>
          </w:p>
        </w:tc>
        <w:tc>
          <w:tcPr>
            <w:tcW w:type="dxa" w:w="5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Design principle only, unshipped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Trust via minimal-permission architecture + audits</w:t>
            </w:r>
          </w:p>
        </w:tc>
        <w:tc>
          <w:tcPr>
            <w:tcW w:type="dxa" w:w="5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Stated intent, no audits yet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Distribution via referral + B2B2C relationships</w:t>
            </w:r>
          </w:p>
        </w:tc>
        <w:tc>
          <w:tcPr>
            <w:tcW w:type="dxa" w:w="5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Zero relationships secured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DPDP-Act-aligned compliance posture</w:t>
            </w:r>
          </w:p>
        </w:tc>
        <w:tc>
          <w:tcPr>
            <w:tcW w:type="dxa" w:w="5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 yet built</w:t>
            </w:r>
          </w:p>
        </w:tc>
      </w:tr>
    </w:tbl>
    <w:p>
      <w:pPr>
        <w:spacing w:after="140"/>
      </w:pPr>
      <w:r>
        <w:t xml:space="preserve">None of these are defensible against a fast-moving, well-funded entrant (Aura, Incogni, or a Big Tech player) localizing India pricing. Speed to real user trust and local distribution — not feature complexity — is the only realistic moat available to a solo founder.</w:t>
      </w:r>
    </w:p>
    <w:p>
      <w:pPr>
        <w:pStyle w:val="Heading2"/>
        <w:spacing w:after="120" w:before="240"/>
      </w:pPr>
      <w:r>
        <w:rPr>
          <w:b/>
          <w:bCs/>
          <w:color w:val="2563eb"/>
        </w:rPr>
        <w:t xml:space="preserve">5.7 Reverse SWOT Analysis</w:t>
      </w:r>
    </w:p>
    <w:p>
      <w:pPr>
        <w:spacing w:after="140"/>
      </w:pPr>
      <w:r>
        <w:t xml:space="preserve">A reverse SWOT stress-tests strengths as future weaknesses and turns threats into strategic opportunities.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7480"/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Reframe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Strength → Risk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"India-first" positioning is a strength today, but becomes a ceiling if the founder never validates expansion markets — the SAM outside India is 4x larger.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Weakness → Fixable Now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interviews/landing page is a weakness that costs almost nothing to fix in 30 days — this is the cheapest risk to retire.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Opportunity → Overstated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"$33B TAM" is an illustrative ceiling, not a near-term target; treating it as real risks over-optimistic planning versus the realistic $0.4–3M SOM.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Threat → Opportunity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slow-moving incumbent market (no India-first player) is also evidence that consumer willingness-to-pay may be genuinely low there — worth confirming before assuming it's purely a timing gap.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563eb"/>
        </w:rPr>
        <w:t xml:space="preserve">5.8 Investor One-Liner</w:t>
      </w:r>
    </w:p>
    <w:p>
      <w:pPr>
        <w:spacing w:after="140"/>
      </w:pPr>
      <w:r>
        <w:rPr>
          <w:i/>
          <w:iCs/>
        </w:rPr>
        <w:t xml:space="preserve">"PrivacyGuard AI is building India's first plain-language privacy-score app for the 850M smartphone users left behind by US-priced, jargon-heavy privacy tools — currently pre-validation, seeking evidence before scale."</w:t>
      </w:r>
    </w:p>
    <w:p>
      <w:pPr>
        <w:pStyle w:val="Heading2"/>
        <w:spacing w:after="120" w:before="240"/>
      </w:pPr>
      <w:r>
        <w:rPr>
          <w:b/>
          <w:bCs/>
          <w:color w:val="2563eb"/>
        </w:rPr>
        <w:t xml:space="preserve">5.9 30-Second Founder Pitch</w:t>
      </w:r>
    </w:p>
    <w:p>
      <w:pPr>
        <w:spacing w:after="140"/>
      </w:pPr>
      <w:r>
        <w:rPr>
          <w:i/>
          <w:iCs/>
        </w:rPr>
        <w:t xml:space="preserve">"Most Indians have no idea which apps are quietly holding their data — and when a breach hits the news, all they can do is panic. Existing privacy tools are built for Americans: expensive, technical, and confusing. PrivacyGuard AI gives anyone a plain-language privacy score and three simple fixes in under two minutes, priced for India. We're validating demand now with real users before we build further — the goal is to become the trusted first stop for digital privacy in India, the way DeleteMe and Incogni are in the US."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0f172a"/>
        </w:rPr>
        <w:t xml:space="preserve">6. Investment Scorecard (0–100)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6280"/>
      </w:tblGrid>
      <w:tr>
        <w:trPr>
          <w:tblHeader/>
        </w:trPr>
        <w:tc>
          <w:tcPr>
            <w:tcW w:type="dxa" w:w="2600"/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1200"/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6280"/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Reasoning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Business Viability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48</w:t>
            </w:r>
          </w:p>
        </w:tc>
        <w:tc>
          <w:tcPr>
            <w:tcW w:type="dxa" w:w="6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Real problem and timing, but no revenue engine proven; freemium-to-paid conversion in India is unverified.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Revenue Potential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38</w:t>
            </w:r>
          </w:p>
        </w:tc>
        <w:tc>
          <w:tcPr>
            <w:tcW w:type="dxa" w:w="6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SOM is small ($0.4–3M ARR) and dependent on an unproven willingness-to-pay assumption; B2B2C could raise this materially if pursued.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GTM Strength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45</w:t>
            </w:r>
          </w:p>
        </w:tc>
        <w:tc>
          <w:tcPr>
            <w:tcW w:type="dxa" w:w="6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sensible trigger-based, low-cost GTM plan exists on paper, but zero channels have been tested and no CAC data exists.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Competitive Strength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55</w:t>
            </w:r>
          </w:p>
        </w:tc>
        <w:tc>
          <w:tcPr>
            <w:tcW w:type="dxa" w:w="6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Clearest score — the India-first, education-led positioning gap versus DeleteMe/Incogni/Aura/Mozilla Monitor is genuinely open today.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Investor Readiness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6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Idea-stage only: no interviews, landing page, prototype, or pricing conversations. Not fundable in current form.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Composite average: 41.6 / 100 — consistent with a Validate verdict rather than Investable.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0f172a"/>
        </w:rPr>
        <w:t xml:space="preserve">7. Visual Dashboard</w:t>
      </w:r>
    </w:p>
    <w:p>
      <w:pPr>
        <w:spacing w:after="140"/>
      </w:pPr>
      <w:r>
        <w:t xml:space="preserve">The infographic below summarizes the business model, revenue streams, GTM flow, first-100-users plan, competitive moat, key risks, scorecards, and final verdict on a single page.</w:t>
      </w:r>
    </w:p>
    <w:p>
      <w:pPr>
        <w:jc w:val="center"/>
      </w:pPr>
      <w:r>
        <w:drawing>
          <wp:inline distT="0" distB="0" distL="0" distR="0">
            <wp:extent cx="5905500" cy="747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0f172a"/>
        </w:rPr>
        <w:t xml:space="preserve">8. Founder Action Sheet — Top 10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Run 20–30 structured interviews with the defined ICP, explicitly asking about willingness to pay in rupees.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Publish a one-page landing site with a clear value proposition and an email waitlist.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Write and test a single-sentence value proposition with at least 10 people outside your existing network.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Deep-dive DeleteMe, Incogni, Aura, and Mozilla Monitor on pricing, features, and messaging gaps.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Set an India-specific pricing hypothesis (₹99–299/month freemium) and commit to testing it, not assuming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Scope exactly one MVP feature — the app permissions &amp; exposure scanner — and nothing else.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7. Build a clickable prototype (Figma) or an ultra-lean single-feature web tool.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8. Test the prototype with 10–15 real users and measure activation (do they complete the first scan?).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9. Hold 5 explicit pricing conversations — not hypothetical, real "would you pay ₹X" conversations.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10. Open at least one B2B2C pilot conversation (college, fintech, or employer) to test the higher-confidence revenue path in parallel with the consumer funnel.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0f172a"/>
        </w:rPr>
        <w:t xml:space="preserve">9. Sustainability Verdict</w:t>
      </w:r>
    </w:p>
    <w:p>
      <w:pPr>
        <w:spacing w:after="200" w:before="100"/>
      </w:pPr>
      <w:r>
        <w:rPr>
          <w:b/>
          <w:bCs/>
          <w:color w:val="b45309"/>
          <w:sz w:val="30"/>
          <w:szCs w:val="30"/>
        </w:rPr>
        <w:t xml:space="preserve">🟡 VALIDATE — Not Yet Investable</w:t>
      </w:r>
    </w:p>
    <w:p>
      <w:pPr>
        <w:spacing w:after="140"/>
      </w:pPr>
      <w:r>
        <w:t xml:space="preserve">PrivacyGuard AI addresses a real and growing problem with genuinely favorable India-market timing and a clear, currently-open competitive gap — but it has no direct evidence of demand, no tested acquisition channel, and no validated willingness to pay, which are the three things that actually determine whether this becomes a sustainable business. It is not investable in its current form, and it should not raise or scale yet.</w:t>
      </w:r>
    </w:p>
    <w:p>
      <w:pPr>
        <w:spacing w:after="140"/>
      </w:pPr>
      <w:r>
        <w:t xml:space="preserve">The path forward is narrow but achievable for a solo founder: complete the 30-day validation plan (structured interviews, a live landing page, and five real pricing conversations, including at least one B2B2C pilot), and let that evidence — not further planning — decide whether to build, pivot toward B2B2C/family verticals, or shut the idea down.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6dda34ede35c54a09cac8f11e433f783b18d27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2026-08-01T07:38:35.226Z</dcterms:created>
  <dcterms:modified xsi:type="dcterms:W3CDTF">2026-08-01T07:38:35.227Z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