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Right to Equality (Articles 14 to 18)</w:t>
      </w:r>
    </w:p>
    <w:p>
      <w:r>
        <w:t>Source: Constitution of India (public document, legislative.gov.in / India Code)</w:t>
      </w:r>
    </w:p>
    <w:p>
      <w:r>
        <w:t>This document gives a short overview of Right to Equality (Articles 14 to 18).</w:t>
      </w:r>
    </w:p>
    <w:p>
      <w:r>
        <w:t>Article 14 guarantees equality before the law and equal protection of the laws to all persons within India. Article 15 prohibits discrimination by the State on grounds of religion, race, caste, sex or place of birth. Article 16 provides equality of opportunity in matters of public employment.</w:t>
      </w:r>
    </w:p>
    <w:p>
      <w:r>
        <w:t>Article 17 abolishes untouchability and makes its practice in any form a punishable offence. Article 18 abolishes titles, although military and academic distinctions are allowed. Article 15(3) allows the State to make special provisions for women and children.</w:t>
      </w:r>
    </w:p>
    <w:p>
      <w:r>
        <w:t>Article 16(4) permits reservation of posts in favour of backward classes that are not adequately represented in State services. The 103rd Amendment of 2019 introduced up to 10 percent reservation for economically weaker sections among those not covered by existing reservations.</w:t>
      </w:r>
    </w:p>
    <w:p>
      <w:r>
        <w:t>Note: This is a simplified educational summary written in our own words from public information. It is not legal, financial or medical advice. Verify details with the official source before relying 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