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Principles of State Policy</w:t>
      </w:r>
    </w:p>
    <w:p>
      <w:r>
        <w:t>Source: Constitution of India (public document, legislative.gov.in / India Code)</w:t>
      </w:r>
    </w:p>
    <w:p>
      <w:r>
        <w:t>This document gives a short overview of Directive Principles of State Policy.</w:t>
      </w:r>
    </w:p>
    <w:p>
      <w:r>
        <w:t>The Directive Principles of State Policy are given in Part IV of the Constitution, from Article 36 to Article 51. Directive Principles are not enforceable by courts, but they are fundamental in the governance of the country. The idea of Directive Principles was borrowed from the Irish Constitution.</w:t>
      </w:r>
    </w:p>
    <w:p>
      <w:r>
        <w:t>Article 39 directs the State to secure equal pay for equal work for men and women. Article 40 directs the State to organise village panchayats as units of self-government. Article 44 encourages the State to secure a uniform civil code for citizens throughout India.</w:t>
      </w:r>
    </w:p>
    <w:p>
      <w:r>
        <w:t>Article 48A, added by the 42nd Amendment, directs the State to protect and improve the environment and safeguard forests and wildlife. In Minerva Mills v Union of India (1980) the Supreme Court said that harmony between Fundamental Rights and Directive Principles is part of the basic structure.</w:t>
      </w:r>
    </w:p>
    <w:p>
      <w:r>
        <w:t>Note: This is a simplified educational summary written in our own words from public information. It is not legal, financial or medical advice. Verify details with the official source before relying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