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Supreme Court of India</w:t>
      </w:r>
    </w:p>
    <w:p>
      <w:r>
        <w:t>Source: Constitution of India (public document, legislative.gov.in / India Code)</w:t>
      </w:r>
    </w:p>
    <w:p>
      <w:r>
        <w:t>This document gives a short overview of The Supreme Court of India.</w:t>
      </w:r>
    </w:p>
    <w:p>
      <w:r>
        <w:t>The Supreme Court of India is the highest court in the country and was inaugurated on 28 January 1950. The Supreme Court sits in New Delhi. The sanctioned strength of the Supreme Court is 34 judges, including the Chief Justice of India.</w:t>
      </w:r>
    </w:p>
    <w:p>
      <w:r>
        <w:t>Supreme Court judges retire at the age of 65. Under Article 131 the Supreme Court has original jurisdiction in disputes between the Union and states or between states. Under Article 136 the Court can grant special leave to appeal against any judgment or order of any court or tribunal in India.</w:t>
      </w:r>
    </w:p>
    <w:p>
      <w:r>
        <w:t>Article 141 provides that the law declared by the Supreme Court is binding on all courts within India. Article 143 allows the President to seek the advisory opinion of the Supreme Court on questions of law or fact.</w:t>
      </w:r>
    </w:p>
    <w:p>
      <w:r>
        <w:t>Note: This is a simplified educational summary written in our own words from public information. It is not legal, financial or medical advice. Verify details with the official source before relying on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