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Election Commission of India and Elections</w:t>
      </w:r>
    </w:p>
    <w:p>
      <w:r>
        <w:t>Source: Constitution of India (public document, legislative.gov.in / India Code)</w:t>
      </w:r>
    </w:p>
    <w:p>
      <w:r>
        <w:t>This document gives a short overview of Election Commission of India and Elections.</w:t>
      </w:r>
    </w:p>
    <w:p>
      <w:r>
        <w:t>The Election Commission of India is a constitutional body established under Article 324. The Election Commission was established on 25 January 1950, which is observed as National Voters Day. The Commission supervises elections to Parliament, state legislatures and the offices of President and Vice-President.</w:t>
      </w:r>
    </w:p>
    <w:p>
      <w:r>
        <w:t>Article 326 provides for elections on the basis of adult suffrage, and the voting age was lowered from 21 to 18 by the 61st Amendment in 1988. Electronic Voting Machines were used on a nationwide basis for the first time in the 2004 general election. The Model Code of Conduct is a set of guidelines for parties and candidates that comes into force once elections are announced.</w:t>
      </w:r>
    </w:p>
    <w:p>
      <w:r>
        <w:t>Voter Verifiable Paper Audit Trail machines allow a voter to see a slip confirming the vote cast. The Chief Election Commissioner can be removed only in the same manner and on the same grounds as a Supreme Court judge.</w:t>
      </w:r>
    </w:p>
    <w:p>
      <w:r>
        <w:t>Note: This is a simplified educational summary written in our own words from public information. It is not legal, financial or medical advice. Verify details with the official source before relying on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