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660" w:rsidRPr="00AF0660" w:rsidRDefault="00AF0660" w:rsidP="00AF0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Here’s a detailed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executive summary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with key insights, percentages, visual analysis, and recommendations based on the customer churn analysis.</w:t>
      </w:r>
    </w:p>
    <w:p w:rsidR="00AF0660" w:rsidRPr="00AF0660" w:rsidRDefault="00AF0660" w:rsidP="00AF0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25" style="width:0;height:1.5pt" o:hralign="center" o:hrstd="t" o:hr="t" fillcolor="#a0a0a0" stroked="f"/>
        </w:pict>
      </w:r>
    </w:p>
    <w:p w:rsidR="00AF0660" w:rsidRPr="00AF0660" w:rsidRDefault="00AF0660" w:rsidP="00AF06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ar-SA"/>
        </w:rPr>
      </w:pPr>
      <w:r w:rsidRPr="00AF0660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 w:bidi="ar-SA"/>
        </w:rPr>
        <w:t>📊</w:t>
      </w:r>
      <w:r w:rsidRPr="00AF06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ar-SA"/>
        </w:rPr>
        <w:t xml:space="preserve"> Executive Summary: Customer Churn Analysis</w:t>
      </w:r>
    </w:p>
    <w:p w:rsidR="00AF0660" w:rsidRPr="00AF0660" w:rsidRDefault="00AF0660" w:rsidP="00AF0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AF0660">
        <w:rPr>
          <w:rFonts w:ascii="Segoe UI Symbol" w:eastAsia="Times New Roman" w:hAnsi="Segoe UI Symbol" w:cs="Segoe UI Symbol"/>
          <w:b/>
          <w:bCs/>
          <w:sz w:val="27"/>
          <w:szCs w:val="27"/>
          <w:lang w:eastAsia="en-IN" w:bidi="ar-SA"/>
        </w:rPr>
        <w:t>🎯</w:t>
      </w:r>
      <w:r w:rsidRPr="00AF066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 xml:space="preserve"> Objective</w:t>
      </w:r>
    </w:p>
    <w:p w:rsidR="00AF0660" w:rsidRPr="00AF0660" w:rsidRDefault="00AF0660" w:rsidP="00AF0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The objective of this analysis is to identify key factors influencing customer churn and provide actionable recommendations to improve retention. The dataset includes various service-related and demographic factors that impact customer </w:t>
      </w:r>
      <w:proofErr w:type="spellStart"/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behavior</w:t>
      </w:r>
      <w:proofErr w:type="spellEnd"/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</w:p>
    <w:p w:rsidR="00AF0660" w:rsidRPr="00AF0660" w:rsidRDefault="00AF0660" w:rsidP="00AF0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26" style="width:0;height:1.5pt" o:hralign="center" o:hrstd="t" o:hr="t" fillcolor="#a0a0a0" stroked="f"/>
        </w:pict>
      </w:r>
    </w:p>
    <w:p w:rsidR="00AF0660" w:rsidRPr="00AF0660" w:rsidRDefault="00AF0660" w:rsidP="00AF06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</w:pPr>
      <w:r w:rsidRPr="00AF0660">
        <w:rPr>
          <w:rFonts w:ascii="Segoe UI Symbol" w:eastAsia="Times New Roman" w:hAnsi="Segoe UI Symbol" w:cs="Segoe UI Symbol"/>
          <w:b/>
          <w:bCs/>
          <w:sz w:val="36"/>
          <w:szCs w:val="36"/>
          <w:lang w:eastAsia="en-IN" w:bidi="ar-SA"/>
        </w:rPr>
        <w:t>📌</w:t>
      </w:r>
      <w:r w:rsidRPr="00AF0660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ar-SA"/>
        </w:rPr>
        <w:t xml:space="preserve"> Key Insights from the Visualizations</w:t>
      </w:r>
    </w:p>
    <w:p w:rsidR="00AF0660" w:rsidRPr="00AF0660" w:rsidRDefault="00AF0660" w:rsidP="00AF0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AF066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1️</w:t>
      </w:r>
      <w:r w:rsidRPr="00AF0660">
        <w:rPr>
          <w:rFonts w:ascii="Tahoma" w:eastAsia="Times New Roman" w:hAnsi="Tahoma" w:cs="Tahoma"/>
          <w:b/>
          <w:bCs/>
          <w:sz w:val="27"/>
          <w:szCs w:val="27"/>
          <w:lang w:eastAsia="en-IN" w:bidi="ar-SA"/>
        </w:rPr>
        <w:t>⃣</w:t>
      </w:r>
      <w:r w:rsidRPr="00AF066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 xml:space="preserve"> Overall Churn Rate</w:t>
      </w:r>
    </w:p>
    <w:p w:rsidR="00AF0660" w:rsidRPr="00AF0660" w:rsidRDefault="00AF0660" w:rsidP="00AF0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🔹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26.54%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of customers have churned, while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73.46%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have remained.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🔹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proofErr w:type="gramStart"/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This</w:t>
      </w:r>
      <w:proofErr w:type="gramEnd"/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indicates a significant churn issue that needs attention.</w:t>
      </w:r>
    </w:p>
    <w:p w:rsidR="00AF0660" w:rsidRPr="00AF0660" w:rsidRDefault="00AF0660" w:rsidP="00AF0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📊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Visualization: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pie chart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was used to show the proportion of churned vs. retained customers.</w:t>
      </w:r>
    </w:p>
    <w:p w:rsidR="00AF0660" w:rsidRPr="00AF0660" w:rsidRDefault="00AF0660" w:rsidP="00AF0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✅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Recommendation:</w:t>
      </w:r>
    </w:p>
    <w:p w:rsidR="00AF0660" w:rsidRPr="00AF0660" w:rsidRDefault="00AF0660" w:rsidP="00AF06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Focus on understanding why these customers leave (survey feedback).</w:t>
      </w:r>
    </w:p>
    <w:p w:rsidR="00AF0660" w:rsidRPr="00AF0660" w:rsidRDefault="00AF0660" w:rsidP="00AF06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Implement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loyalty programs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to retain existing customers.</w:t>
      </w:r>
    </w:p>
    <w:p w:rsidR="00AF0660" w:rsidRPr="00AF0660" w:rsidRDefault="00AF0660" w:rsidP="00AF0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27" style="width:0;height:1.5pt" o:hralign="center" o:hrstd="t" o:hr="t" fillcolor="#a0a0a0" stroked="f"/>
        </w:pict>
      </w:r>
    </w:p>
    <w:p w:rsidR="00AF0660" w:rsidRPr="00AF0660" w:rsidRDefault="00AF0660" w:rsidP="00AF0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AF066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2️</w:t>
      </w:r>
      <w:r w:rsidRPr="00AF0660">
        <w:rPr>
          <w:rFonts w:ascii="Tahoma" w:eastAsia="Times New Roman" w:hAnsi="Tahoma" w:cs="Tahoma"/>
          <w:b/>
          <w:bCs/>
          <w:sz w:val="27"/>
          <w:szCs w:val="27"/>
          <w:lang w:eastAsia="en-IN" w:bidi="ar-SA"/>
        </w:rPr>
        <w:t>⃣</w:t>
      </w:r>
      <w:r w:rsidRPr="00AF066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 xml:space="preserve"> Churn by Gender</w:t>
      </w:r>
    </w:p>
    <w:p w:rsidR="00AF0660" w:rsidRPr="00AF0660" w:rsidRDefault="00AF0660" w:rsidP="00AF0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🔹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Male (26.1%)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and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Female (27.1%)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customers churn at nearly the same rate.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🔹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Gender does not significantly impact churn.</w:t>
      </w:r>
    </w:p>
    <w:p w:rsidR="00AF0660" w:rsidRPr="00AF0660" w:rsidRDefault="00AF0660" w:rsidP="00AF0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📊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Visualization: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stacked bar chart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comparing churn rates by gender.</w:t>
      </w:r>
    </w:p>
    <w:p w:rsidR="00AF0660" w:rsidRPr="00AF0660" w:rsidRDefault="00AF0660" w:rsidP="00AF0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✅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Recommendation:</w:t>
      </w:r>
    </w:p>
    <w:p w:rsidR="00AF0660" w:rsidRPr="00AF0660" w:rsidRDefault="00AF0660" w:rsidP="00AF066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Instead of gender-based strategies, focus on service-related factors.</w:t>
      </w:r>
    </w:p>
    <w:p w:rsidR="00AF0660" w:rsidRPr="00AF0660" w:rsidRDefault="00AF0660" w:rsidP="00AF0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28" style="width:0;height:1.5pt" o:hralign="center" o:hrstd="t" o:hr="t" fillcolor="#a0a0a0" stroked="f"/>
        </w:pict>
      </w:r>
    </w:p>
    <w:p w:rsidR="00AF0660" w:rsidRPr="00AF0660" w:rsidRDefault="00AF0660" w:rsidP="00AF0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AF066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lastRenderedPageBreak/>
        <w:t>3️</w:t>
      </w:r>
      <w:r w:rsidRPr="00AF0660">
        <w:rPr>
          <w:rFonts w:ascii="Tahoma" w:eastAsia="Times New Roman" w:hAnsi="Tahoma" w:cs="Tahoma"/>
          <w:b/>
          <w:bCs/>
          <w:sz w:val="27"/>
          <w:szCs w:val="27"/>
          <w:lang w:eastAsia="en-IN" w:bidi="ar-SA"/>
        </w:rPr>
        <w:t>⃣</w:t>
      </w:r>
      <w:r w:rsidRPr="00AF066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 xml:space="preserve"> Churn by Senior Citizen Status</w:t>
      </w:r>
    </w:p>
    <w:p w:rsidR="00AF0660" w:rsidRPr="00AF0660" w:rsidRDefault="00AF0660" w:rsidP="00AF0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🔹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Senior citizens (41.4%)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churn at nearly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twice the rate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of non-senior citizens (23.5%).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🔹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proofErr w:type="gramStart"/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This</w:t>
      </w:r>
      <w:proofErr w:type="gramEnd"/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suggests that older customers may be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less satisfied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with services.</w:t>
      </w:r>
    </w:p>
    <w:p w:rsidR="00AF0660" w:rsidRPr="00AF0660" w:rsidRDefault="00AF0660" w:rsidP="00AF0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📊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Visualization: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grouped bar chart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showing churn distribution by senior citizen status.</w:t>
      </w:r>
    </w:p>
    <w:p w:rsidR="00AF0660" w:rsidRPr="00AF0660" w:rsidRDefault="00AF0660" w:rsidP="00AF0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✅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Recommendation:</w:t>
      </w:r>
    </w:p>
    <w:p w:rsidR="00AF0660" w:rsidRPr="00AF0660" w:rsidRDefault="00AF0660" w:rsidP="00AF06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Offer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senior-friendly plans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with better support.</w:t>
      </w:r>
    </w:p>
    <w:p w:rsidR="00AF0660" w:rsidRPr="00AF0660" w:rsidRDefault="00AF0660" w:rsidP="00AF06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Improve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customer service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for elderly users.</w:t>
      </w:r>
    </w:p>
    <w:p w:rsidR="00AF0660" w:rsidRPr="00AF0660" w:rsidRDefault="00AF0660" w:rsidP="00AF06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Provide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simplified billing &amp; tech assistance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</w:p>
    <w:p w:rsidR="00AF0660" w:rsidRPr="00AF0660" w:rsidRDefault="00AF0660" w:rsidP="00AF0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29" style="width:0;height:1.5pt" o:hralign="center" o:hrstd="t" o:hr="t" fillcolor="#a0a0a0" stroked="f"/>
        </w:pict>
      </w:r>
    </w:p>
    <w:p w:rsidR="00AF0660" w:rsidRPr="00AF0660" w:rsidRDefault="00AF0660" w:rsidP="00AF0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AF066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4️</w:t>
      </w:r>
      <w:r w:rsidRPr="00AF0660">
        <w:rPr>
          <w:rFonts w:ascii="Tahoma" w:eastAsia="Times New Roman" w:hAnsi="Tahoma" w:cs="Tahoma"/>
          <w:b/>
          <w:bCs/>
          <w:sz w:val="27"/>
          <w:szCs w:val="27"/>
          <w:lang w:eastAsia="en-IN" w:bidi="ar-SA"/>
        </w:rPr>
        <w:t>⃣</w:t>
      </w:r>
      <w:r w:rsidRPr="00AF066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 xml:space="preserve"> Churn by Tenure (Customer Loyalty Duration)</w:t>
      </w:r>
    </w:p>
    <w:p w:rsidR="00AF0660" w:rsidRPr="00AF0660" w:rsidRDefault="00AF0660" w:rsidP="00AF0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🔹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Churn is highest (61%) among customers with tenure of 1-2 months.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🔹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Long-term customers (over 2 years) have a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churn rate below 10%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🔹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proofErr w:type="gramStart"/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This</w:t>
      </w:r>
      <w:proofErr w:type="gramEnd"/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suggests that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early engagement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is crucial for retention.</w:t>
      </w:r>
    </w:p>
    <w:p w:rsidR="00AF0660" w:rsidRPr="00AF0660" w:rsidRDefault="00AF0660" w:rsidP="00AF0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📊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Visualization: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line chart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showing churn rate vs. tenure.</w:t>
      </w:r>
    </w:p>
    <w:p w:rsidR="00AF0660" w:rsidRPr="00AF0660" w:rsidRDefault="00AF0660" w:rsidP="00AF0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✅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Recommendation:</w:t>
      </w:r>
    </w:p>
    <w:p w:rsidR="00AF0660" w:rsidRPr="00AF0660" w:rsidRDefault="00AF0660" w:rsidP="00AF06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Introduce </w:t>
      </w:r>
      <w:proofErr w:type="spellStart"/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onboarding</w:t>
      </w:r>
      <w:proofErr w:type="spellEnd"/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 xml:space="preserve"> programs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to engage new customers.</w:t>
      </w:r>
    </w:p>
    <w:p w:rsidR="00AF0660" w:rsidRPr="00AF0660" w:rsidRDefault="00AF0660" w:rsidP="00AF06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Offer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discounts for long-term commitments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</w:p>
    <w:p w:rsidR="00AF0660" w:rsidRPr="00AF0660" w:rsidRDefault="00AF0660" w:rsidP="00AF0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30" style="width:0;height:1.5pt" o:hralign="center" o:hrstd="t" o:hr="t" fillcolor="#a0a0a0" stroked="f"/>
        </w:pict>
      </w:r>
    </w:p>
    <w:p w:rsidR="00AF0660" w:rsidRPr="00AF0660" w:rsidRDefault="00AF0660" w:rsidP="00AF0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AF066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5️</w:t>
      </w:r>
      <w:r w:rsidRPr="00AF0660">
        <w:rPr>
          <w:rFonts w:ascii="Tahoma" w:eastAsia="Times New Roman" w:hAnsi="Tahoma" w:cs="Tahoma"/>
          <w:b/>
          <w:bCs/>
          <w:sz w:val="27"/>
          <w:szCs w:val="27"/>
          <w:lang w:eastAsia="en-IN" w:bidi="ar-SA"/>
        </w:rPr>
        <w:t>⃣</w:t>
      </w:r>
      <w:r w:rsidRPr="00AF066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 xml:space="preserve"> Churn by Contract Type</w:t>
      </w:r>
    </w:p>
    <w:p w:rsidR="00AF0660" w:rsidRPr="00AF0660" w:rsidRDefault="00AF0660" w:rsidP="00AF0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🔹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Monthly contract customers churn the most (42.3%)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, compared to:</w:t>
      </w:r>
    </w:p>
    <w:p w:rsidR="00AF0660" w:rsidRPr="00AF0660" w:rsidRDefault="00AF0660" w:rsidP="00AF06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1-year contracts: 11.5% churn</w:t>
      </w:r>
    </w:p>
    <w:p w:rsidR="00AF0660" w:rsidRPr="00AF0660" w:rsidRDefault="00AF0660" w:rsidP="00AF066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2-year contracts: 3.5% churn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🔹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Short-term contracts lead to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higher customer instability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</w:p>
    <w:p w:rsidR="00AF0660" w:rsidRPr="00AF0660" w:rsidRDefault="00AF0660" w:rsidP="00AF0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📊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Visualization: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bar chart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comparing churn across contract types.</w:t>
      </w:r>
    </w:p>
    <w:p w:rsidR="00AF0660" w:rsidRPr="00AF0660" w:rsidRDefault="00AF0660" w:rsidP="00AF0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✅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Recommendation:</w:t>
      </w:r>
    </w:p>
    <w:p w:rsidR="00AF0660" w:rsidRPr="00AF0660" w:rsidRDefault="00AF0660" w:rsidP="00AF06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Provide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incentives for annual contracts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</w:p>
    <w:p w:rsidR="00AF0660" w:rsidRPr="00AF0660" w:rsidRDefault="00AF0660" w:rsidP="00AF06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Implement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auto-renewal with benefits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</w:p>
    <w:p w:rsidR="00AF0660" w:rsidRPr="00AF0660" w:rsidRDefault="00AF0660" w:rsidP="00AF0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31" style="width:0;height:1.5pt" o:hralign="center" o:hrstd="t" o:hr="t" fillcolor="#a0a0a0" stroked="f"/>
        </w:pict>
      </w:r>
    </w:p>
    <w:p w:rsidR="00AF0660" w:rsidRPr="00AF0660" w:rsidRDefault="00AF0660" w:rsidP="00AF0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AF066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lastRenderedPageBreak/>
        <w:t>6️</w:t>
      </w:r>
      <w:r w:rsidRPr="00AF0660">
        <w:rPr>
          <w:rFonts w:ascii="Tahoma" w:eastAsia="Times New Roman" w:hAnsi="Tahoma" w:cs="Tahoma"/>
          <w:b/>
          <w:bCs/>
          <w:sz w:val="27"/>
          <w:szCs w:val="27"/>
          <w:lang w:eastAsia="en-IN" w:bidi="ar-SA"/>
        </w:rPr>
        <w:t>⃣</w:t>
      </w:r>
      <w:r w:rsidRPr="00AF066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 xml:space="preserve"> Churn by Services Used</w:t>
      </w:r>
    </w:p>
    <w:p w:rsidR="00AF0660" w:rsidRPr="00AF0660" w:rsidRDefault="00AF0660" w:rsidP="00AF0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🔹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Customers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without Online Security (45.3%) and Tech Support (48.2%)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have the highest churn rates.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🔹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proofErr w:type="gramStart"/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Those</w:t>
      </w:r>
      <w:proofErr w:type="gramEnd"/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with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Streaming TV &amp; Movies but no security support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also tend to churn more.</w:t>
      </w:r>
    </w:p>
    <w:p w:rsidR="00AF0660" w:rsidRPr="00AF0660" w:rsidRDefault="00AF0660" w:rsidP="00AF0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📊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Visualization: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stacked bar chart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comparing churn rates across services.</w:t>
      </w:r>
    </w:p>
    <w:p w:rsidR="00AF0660" w:rsidRPr="00AF0660" w:rsidRDefault="00AF0660" w:rsidP="00AF0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✅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Recommendation:</w:t>
      </w:r>
    </w:p>
    <w:p w:rsidR="00AF0660" w:rsidRPr="00AF0660" w:rsidRDefault="00AF0660" w:rsidP="00AF06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Bundle security &amp; tech support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with internet services.</w:t>
      </w:r>
    </w:p>
    <w:p w:rsidR="00AF0660" w:rsidRPr="00AF0660" w:rsidRDefault="00AF0660" w:rsidP="00AF066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Offer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free trials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of security services.</w:t>
      </w:r>
    </w:p>
    <w:p w:rsidR="00AF0660" w:rsidRPr="00AF0660" w:rsidRDefault="00AF0660" w:rsidP="00AF0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32" style="width:0;height:1.5pt" o:hralign="center" o:hrstd="t" o:hr="t" fillcolor="#a0a0a0" stroked="f"/>
        </w:pict>
      </w:r>
    </w:p>
    <w:p w:rsidR="00AF0660" w:rsidRPr="00AF0660" w:rsidRDefault="00AF0660" w:rsidP="00AF0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</w:pPr>
      <w:r w:rsidRPr="00AF066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>7️</w:t>
      </w:r>
      <w:r w:rsidRPr="00AF0660">
        <w:rPr>
          <w:rFonts w:ascii="Tahoma" w:eastAsia="Times New Roman" w:hAnsi="Tahoma" w:cs="Tahoma"/>
          <w:b/>
          <w:bCs/>
          <w:sz w:val="27"/>
          <w:szCs w:val="27"/>
          <w:lang w:eastAsia="en-IN" w:bidi="ar-SA"/>
        </w:rPr>
        <w:t>⃣</w:t>
      </w:r>
      <w:r w:rsidRPr="00AF066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ar-SA"/>
        </w:rPr>
        <w:t xml:space="preserve"> Churn by Payment Method</w:t>
      </w:r>
    </w:p>
    <w:p w:rsidR="00AF0660" w:rsidRPr="00AF0660" w:rsidRDefault="00AF0660" w:rsidP="00AF0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🔹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Electronic Check users churn the most (44.5%)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, compared to:</w:t>
      </w:r>
    </w:p>
    <w:p w:rsidR="00AF0660" w:rsidRPr="00AF0660" w:rsidRDefault="00AF0660" w:rsidP="00AF06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Credit Card (15.3%)</w:t>
      </w:r>
    </w:p>
    <w:p w:rsidR="00AF0660" w:rsidRPr="00AF0660" w:rsidRDefault="00AF0660" w:rsidP="00AF06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Bank Transfer (12.7%</w:t>
      </w:r>
      <w:proofErr w:type="gramStart"/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)</w:t>
      </w:r>
      <w:proofErr w:type="gramEnd"/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🔹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This suggests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billing issues or dissatisfaction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with electronic check payments.</w:t>
      </w:r>
    </w:p>
    <w:p w:rsidR="00AF0660" w:rsidRPr="00AF0660" w:rsidRDefault="00AF0660" w:rsidP="00AF0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📊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Visualization: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A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bar chart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comparing churn across payment methods.</w:t>
      </w:r>
    </w:p>
    <w:p w:rsidR="00AF0660" w:rsidRPr="00AF0660" w:rsidRDefault="00AF0660" w:rsidP="00AF0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✅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Recommendation:</w:t>
      </w:r>
    </w:p>
    <w:p w:rsidR="00AF0660" w:rsidRPr="00AF0660" w:rsidRDefault="00AF0660" w:rsidP="00AF06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Encourage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auto-pay options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for better retention.</w:t>
      </w:r>
    </w:p>
    <w:p w:rsidR="00AF0660" w:rsidRPr="00AF0660" w:rsidRDefault="00AF0660" w:rsidP="00AF066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Investigate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electronic check complaints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>.</w:t>
      </w:r>
    </w:p>
    <w:p w:rsidR="00AF0660" w:rsidRPr="00AF0660" w:rsidRDefault="00AF0660" w:rsidP="00AF0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33" style="width:0;height:1.5pt" o:hralign="center" o:hrstd="t" o:hr="t" fillcolor="#a0a0a0" stroked="f"/>
        </w:pict>
      </w:r>
    </w:p>
    <w:p w:rsidR="00AF0660" w:rsidRPr="00AF0660" w:rsidRDefault="00AF0660" w:rsidP="00AF06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ar-SA"/>
        </w:rPr>
      </w:pPr>
      <w:r w:rsidRPr="00AF0660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 w:bidi="ar-SA"/>
        </w:rPr>
        <w:t>📈</w:t>
      </w:r>
      <w:r w:rsidRPr="00AF06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ar-SA"/>
        </w:rPr>
        <w:t xml:space="preserve"> Summary of Key Findings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1767"/>
        <w:gridCol w:w="1714"/>
        <w:gridCol w:w="2941"/>
      </w:tblGrid>
      <w:tr w:rsidR="00AF0660" w:rsidRPr="00AF0660" w:rsidTr="00AF06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F0660" w:rsidRPr="00AF0660" w:rsidRDefault="00AF0660" w:rsidP="00AF0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:rsidR="00AF0660" w:rsidRPr="00AF0660" w:rsidRDefault="00AF0660" w:rsidP="00AF0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High Churn (%)</w:t>
            </w:r>
          </w:p>
        </w:tc>
        <w:tc>
          <w:tcPr>
            <w:tcW w:w="0" w:type="auto"/>
            <w:vAlign w:val="center"/>
            <w:hideMark/>
          </w:tcPr>
          <w:p w:rsidR="00AF0660" w:rsidRPr="00AF0660" w:rsidRDefault="00AF0660" w:rsidP="00AF0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Low Churn (%)</w:t>
            </w:r>
          </w:p>
        </w:tc>
        <w:tc>
          <w:tcPr>
            <w:tcW w:w="0" w:type="auto"/>
            <w:vAlign w:val="center"/>
            <w:hideMark/>
          </w:tcPr>
          <w:p w:rsidR="00AF0660" w:rsidRPr="00AF0660" w:rsidRDefault="00AF0660" w:rsidP="00AF06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Recommendation</w:t>
            </w:r>
          </w:p>
        </w:tc>
      </w:tr>
      <w:tr w:rsidR="00AF0660" w:rsidRPr="00AF0660" w:rsidTr="00AF0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660" w:rsidRPr="00AF0660" w:rsidRDefault="00AF0660" w:rsidP="00AF0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Overall Churn Rate</w:t>
            </w:r>
          </w:p>
        </w:tc>
        <w:tc>
          <w:tcPr>
            <w:tcW w:w="0" w:type="auto"/>
            <w:vAlign w:val="center"/>
            <w:hideMark/>
          </w:tcPr>
          <w:p w:rsidR="00AF0660" w:rsidRPr="00AF0660" w:rsidRDefault="00AF0660" w:rsidP="00AF0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26.54%</w:t>
            </w:r>
          </w:p>
        </w:tc>
        <w:tc>
          <w:tcPr>
            <w:tcW w:w="0" w:type="auto"/>
            <w:vAlign w:val="center"/>
            <w:hideMark/>
          </w:tcPr>
          <w:p w:rsidR="00AF0660" w:rsidRPr="00AF0660" w:rsidRDefault="00AF0660" w:rsidP="00AF0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73.46%</w:t>
            </w:r>
          </w:p>
        </w:tc>
        <w:tc>
          <w:tcPr>
            <w:tcW w:w="0" w:type="auto"/>
            <w:vAlign w:val="center"/>
            <w:hideMark/>
          </w:tcPr>
          <w:p w:rsidR="00AF0660" w:rsidRPr="00AF0660" w:rsidRDefault="00AF0660" w:rsidP="00AF0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Improve retention strategies</w:t>
            </w:r>
          </w:p>
        </w:tc>
      </w:tr>
      <w:tr w:rsidR="00AF0660" w:rsidRPr="00AF0660" w:rsidTr="00AF0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660" w:rsidRPr="00AF0660" w:rsidRDefault="00AF0660" w:rsidP="00AF0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Senior Citizens</w:t>
            </w:r>
          </w:p>
        </w:tc>
        <w:tc>
          <w:tcPr>
            <w:tcW w:w="0" w:type="auto"/>
            <w:vAlign w:val="center"/>
            <w:hideMark/>
          </w:tcPr>
          <w:p w:rsidR="00AF0660" w:rsidRPr="00AF0660" w:rsidRDefault="00AF0660" w:rsidP="00AF0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41.4%</w:t>
            </w:r>
          </w:p>
        </w:tc>
        <w:tc>
          <w:tcPr>
            <w:tcW w:w="0" w:type="auto"/>
            <w:vAlign w:val="center"/>
            <w:hideMark/>
          </w:tcPr>
          <w:p w:rsidR="00AF0660" w:rsidRPr="00AF0660" w:rsidRDefault="00AF0660" w:rsidP="00AF0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23.5%</w:t>
            </w:r>
          </w:p>
        </w:tc>
        <w:tc>
          <w:tcPr>
            <w:tcW w:w="0" w:type="auto"/>
            <w:vAlign w:val="center"/>
            <w:hideMark/>
          </w:tcPr>
          <w:p w:rsidR="00AF0660" w:rsidRPr="00AF0660" w:rsidRDefault="00AF0660" w:rsidP="00AF0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Offer senior-friendly plans</w:t>
            </w:r>
          </w:p>
        </w:tc>
      </w:tr>
      <w:tr w:rsidR="00AF0660" w:rsidRPr="00AF0660" w:rsidTr="00AF0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660" w:rsidRPr="00AF0660" w:rsidRDefault="00AF0660" w:rsidP="00AF0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Tenure (1-2 months)</w:t>
            </w:r>
          </w:p>
        </w:tc>
        <w:tc>
          <w:tcPr>
            <w:tcW w:w="0" w:type="auto"/>
            <w:vAlign w:val="center"/>
            <w:hideMark/>
          </w:tcPr>
          <w:p w:rsidR="00AF0660" w:rsidRPr="00AF0660" w:rsidRDefault="00AF0660" w:rsidP="00AF0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61%</w:t>
            </w:r>
          </w:p>
        </w:tc>
        <w:tc>
          <w:tcPr>
            <w:tcW w:w="0" w:type="auto"/>
            <w:vAlign w:val="center"/>
            <w:hideMark/>
          </w:tcPr>
          <w:p w:rsidR="00AF0660" w:rsidRPr="00AF0660" w:rsidRDefault="00AF0660" w:rsidP="00AF0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&lt;10% (2+ </w:t>
            </w:r>
            <w:proofErr w:type="spellStart"/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yrs</w:t>
            </w:r>
            <w:proofErr w:type="spellEnd"/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F0660" w:rsidRPr="00AF0660" w:rsidRDefault="00AF0660" w:rsidP="00AF0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Improve early engagement</w:t>
            </w:r>
          </w:p>
        </w:tc>
      </w:tr>
      <w:tr w:rsidR="00AF0660" w:rsidRPr="00AF0660" w:rsidTr="00AF0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660" w:rsidRPr="00AF0660" w:rsidRDefault="00AF0660" w:rsidP="00AF0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Monthly Contracts</w:t>
            </w:r>
          </w:p>
        </w:tc>
        <w:tc>
          <w:tcPr>
            <w:tcW w:w="0" w:type="auto"/>
            <w:vAlign w:val="center"/>
            <w:hideMark/>
          </w:tcPr>
          <w:p w:rsidR="00AF0660" w:rsidRPr="00AF0660" w:rsidRDefault="00AF0660" w:rsidP="00AF0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42.3%</w:t>
            </w:r>
          </w:p>
        </w:tc>
        <w:tc>
          <w:tcPr>
            <w:tcW w:w="0" w:type="auto"/>
            <w:vAlign w:val="center"/>
            <w:hideMark/>
          </w:tcPr>
          <w:p w:rsidR="00AF0660" w:rsidRPr="00AF0660" w:rsidRDefault="00AF0660" w:rsidP="00AF0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 xml:space="preserve">3.5% (2 </w:t>
            </w:r>
            <w:proofErr w:type="spellStart"/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yrs</w:t>
            </w:r>
            <w:proofErr w:type="spellEnd"/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F0660" w:rsidRPr="00AF0660" w:rsidRDefault="00AF0660" w:rsidP="00AF0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Encourage long-term plans</w:t>
            </w:r>
          </w:p>
        </w:tc>
      </w:tr>
      <w:tr w:rsidR="00AF0660" w:rsidRPr="00AF0660" w:rsidTr="00AF0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660" w:rsidRPr="00AF0660" w:rsidRDefault="00AF0660" w:rsidP="00AF0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No Tech Support</w:t>
            </w:r>
          </w:p>
        </w:tc>
        <w:tc>
          <w:tcPr>
            <w:tcW w:w="0" w:type="auto"/>
            <w:vAlign w:val="center"/>
            <w:hideMark/>
          </w:tcPr>
          <w:p w:rsidR="00AF0660" w:rsidRPr="00AF0660" w:rsidRDefault="00AF0660" w:rsidP="00AF0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48.2%</w:t>
            </w:r>
          </w:p>
        </w:tc>
        <w:tc>
          <w:tcPr>
            <w:tcW w:w="0" w:type="auto"/>
            <w:vAlign w:val="center"/>
            <w:hideMark/>
          </w:tcPr>
          <w:p w:rsidR="00AF0660" w:rsidRPr="00AF0660" w:rsidRDefault="00AF0660" w:rsidP="00AF0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AF0660" w:rsidRPr="00AF0660" w:rsidRDefault="00AF0660" w:rsidP="00AF0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Bundle support services</w:t>
            </w:r>
          </w:p>
        </w:tc>
      </w:tr>
      <w:tr w:rsidR="00AF0660" w:rsidRPr="00AF0660" w:rsidTr="00AF066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0660" w:rsidRPr="00AF0660" w:rsidRDefault="00AF0660" w:rsidP="00AF0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ar-SA"/>
              </w:rPr>
              <w:t>Electronic Check</w:t>
            </w:r>
          </w:p>
        </w:tc>
        <w:tc>
          <w:tcPr>
            <w:tcW w:w="0" w:type="auto"/>
            <w:vAlign w:val="center"/>
            <w:hideMark/>
          </w:tcPr>
          <w:p w:rsidR="00AF0660" w:rsidRPr="00AF0660" w:rsidRDefault="00AF0660" w:rsidP="00AF0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44.5%</w:t>
            </w:r>
          </w:p>
        </w:tc>
        <w:tc>
          <w:tcPr>
            <w:tcW w:w="0" w:type="auto"/>
            <w:vAlign w:val="center"/>
            <w:hideMark/>
          </w:tcPr>
          <w:p w:rsidR="00AF0660" w:rsidRPr="00AF0660" w:rsidRDefault="00AF0660" w:rsidP="00AF0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12.7% (Bank)</w:t>
            </w:r>
          </w:p>
        </w:tc>
        <w:tc>
          <w:tcPr>
            <w:tcW w:w="0" w:type="auto"/>
            <w:vAlign w:val="center"/>
            <w:hideMark/>
          </w:tcPr>
          <w:p w:rsidR="00AF0660" w:rsidRPr="00AF0660" w:rsidRDefault="00AF0660" w:rsidP="00AF06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</w:pPr>
            <w:r w:rsidRPr="00AF066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ar-SA"/>
              </w:rPr>
              <w:t>Promote alternative payments</w:t>
            </w:r>
          </w:p>
        </w:tc>
      </w:tr>
    </w:tbl>
    <w:p w:rsidR="00AF0660" w:rsidRPr="00AF0660" w:rsidRDefault="00AF0660" w:rsidP="00AF0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34" style="width:0;height:1.5pt" o:hralign="center" o:hrstd="t" o:hr="t" fillcolor="#a0a0a0" stroked="f"/>
        </w:pict>
      </w:r>
    </w:p>
    <w:p w:rsidR="00AF0660" w:rsidRPr="00AF0660" w:rsidRDefault="00AF0660" w:rsidP="00AF06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ar-SA"/>
        </w:rPr>
      </w:pPr>
      <w:r w:rsidRPr="00AF0660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 w:bidi="ar-SA"/>
        </w:rPr>
        <w:t>📢</w:t>
      </w:r>
      <w:r w:rsidRPr="00AF06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ar-SA"/>
        </w:rPr>
        <w:t xml:space="preserve"> Final Recommendations</w:t>
      </w:r>
    </w:p>
    <w:p w:rsidR="00AF0660" w:rsidRPr="00AF0660" w:rsidRDefault="00AF0660" w:rsidP="00AF0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lastRenderedPageBreak/>
        <w:t>✅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Focus on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early customer engagement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to reduce short-term churn.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✅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Encourage long-term contracts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by offering discounts.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✅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Improve senior citizen support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with better customer service.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✅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Promote security &amp; tech support services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to increase retention.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br/>
      </w: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✅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Investigate payment issues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related to electronic checks.</w:t>
      </w:r>
    </w:p>
    <w:p w:rsidR="00AF0660" w:rsidRPr="00AF0660" w:rsidRDefault="00AF0660" w:rsidP="00AF0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pict>
          <v:rect id="_x0000_i1035" style="width:0;height:1.5pt" o:hralign="center" o:hrstd="t" o:hr="t" fillcolor="#a0a0a0" stroked="f"/>
        </w:pict>
      </w:r>
    </w:p>
    <w:p w:rsidR="00AF0660" w:rsidRPr="00AF0660" w:rsidRDefault="00AF0660" w:rsidP="00AF0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Would you like me to generate </w:t>
      </w:r>
      <w:r w:rsidRPr="00AF066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ar-SA"/>
        </w:rPr>
        <w:t>visualizations</w:t>
      </w:r>
      <w:r w:rsidRPr="00AF0660"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  <w:t xml:space="preserve"> or refine any part further? </w:t>
      </w:r>
      <w:r w:rsidRPr="00AF0660">
        <w:rPr>
          <w:rFonts w:ascii="Segoe UI Symbol" w:eastAsia="Times New Roman" w:hAnsi="Segoe UI Symbol" w:cs="Segoe UI Symbol"/>
          <w:sz w:val="24"/>
          <w:szCs w:val="24"/>
          <w:lang w:eastAsia="en-IN" w:bidi="ar-SA"/>
        </w:rPr>
        <w:t>😊</w:t>
      </w:r>
    </w:p>
    <w:p w:rsidR="00E62865" w:rsidRDefault="00E62865">
      <w:bookmarkStart w:id="0" w:name="_GoBack"/>
      <w:bookmarkEnd w:id="0"/>
    </w:p>
    <w:sectPr w:rsidR="00E62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B5D29"/>
    <w:multiLevelType w:val="multilevel"/>
    <w:tmpl w:val="578E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72F07"/>
    <w:multiLevelType w:val="multilevel"/>
    <w:tmpl w:val="BAFE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321EA"/>
    <w:multiLevelType w:val="multilevel"/>
    <w:tmpl w:val="8FC0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B30356"/>
    <w:multiLevelType w:val="multilevel"/>
    <w:tmpl w:val="3DA6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DF6DFB"/>
    <w:multiLevelType w:val="multilevel"/>
    <w:tmpl w:val="F8B4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C22A4C"/>
    <w:multiLevelType w:val="multilevel"/>
    <w:tmpl w:val="9E86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474887"/>
    <w:multiLevelType w:val="multilevel"/>
    <w:tmpl w:val="4CEE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2F51F4"/>
    <w:multiLevelType w:val="multilevel"/>
    <w:tmpl w:val="AEFE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1B59A3"/>
    <w:multiLevelType w:val="multilevel"/>
    <w:tmpl w:val="F544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8"/>
  </w:num>
  <w:num w:numId="5">
    <w:abstractNumId w:val="3"/>
  </w:num>
  <w:num w:numId="6">
    <w:abstractNumId w:val="2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660"/>
    <w:rsid w:val="00AF0660"/>
    <w:rsid w:val="00E6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82B2C-B5DD-4D16-9E73-4BE1BBF4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AF06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paragraph" w:styleId="Heading2">
    <w:name w:val="heading 2"/>
    <w:basedOn w:val="Normal"/>
    <w:link w:val="Heading2Char"/>
    <w:uiPriority w:val="9"/>
    <w:qFormat/>
    <w:rsid w:val="00AF0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paragraph" w:styleId="Heading3">
    <w:name w:val="heading 3"/>
    <w:basedOn w:val="Normal"/>
    <w:link w:val="Heading3Char"/>
    <w:uiPriority w:val="9"/>
    <w:qFormat/>
    <w:rsid w:val="00AF06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660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F0660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F0660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AF0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AF06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9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bankar</dc:creator>
  <cp:keywords/>
  <dc:description/>
  <cp:lastModifiedBy>bankar</cp:lastModifiedBy>
  <cp:revision>1</cp:revision>
  <dcterms:created xsi:type="dcterms:W3CDTF">2025-01-29T07:12:00Z</dcterms:created>
  <dcterms:modified xsi:type="dcterms:W3CDTF">2025-01-29T07:13:00Z</dcterms:modified>
</cp:coreProperties>
</file>