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Transformer Pipeline Identifies Drug-Persister Cells in Acute Myeloid Leukemia from Single-Cell RNA-Seq</w:t>
      </w:r>
    </w:p>
    <w:p>
      <w:pPr>
        <w:jc w:val="center"/>
      </w:pPr>
      <w:r>
        <w:t>Jyotidip Barman</w:t>
      </w:r>
    </w:p>
    <w:p>
      <w:pPr>
        <w:jc w:val="center"/>
      </w:pPr>
      <w:r>
        <w:t>University of Helsinki, Helsinki, Finland</w:t>
      </w:r>
    </w:p>
    <w:p>
      <w:r>
        <w:t>28 September 2025</w:t>
      </w:r>
    </w:p>
    <w:p/>
    <w:p>
      <w:pPr>
        <w:pStyle w:val="Heading1"/>
      </w:pPr>
      <w:r>
        <w:t>Abstract</w:t>
      </w:r>
    </w:p>
    <w:p>
      <w:r>
        <w:t>Relapse in acute myeloid leukemia (AML) is thought to be driven by small populations of drug-tolerant persister cells that evade initial therapy. We present a deployment-grade pipeline that classifies AML persister cells from single-cell RNA sequencing (scRNA-seq) by combining a Feature Token Transformer with model-aware gene reduction, knowledge distillation, and therapeutic network integration. The full 13k-gene model achieves AUC-ROC 0.85–0.92, balanced accuracy 0.80–0.85, and MCC 0.65–0.75 under stratified k-fold validation with bounded decision thresholds. Distillation to a 1,000-gene classifier preserves performance (AUC-ROC 0.82–0.88) while enabling 10× faster inference and &gt;85% agreement with the teacher. Integration with DepMap prioritizes a 500-gene therapeutic panel enriched for AML dependencies. Downstream KEGG and transcription factor (TF) network analyses highlight actionable circuits; module scoring separates AML from healthy controls with large effect sizes. The pipeline includes coverage guards, identifier harmonization, and SLURM/HPC readiness for real-world deployment. Code and artifacts are organized for reproducibility.</w:t>
      </w:r>
    </w:p>
    <w:p>
      <w:pPr>
        <w:pStyle w:val="Heading1"/>
      </w:pPr>
      <w:r>
        <w:t>Introduction</w:t>
      </w:r>
    </w:p>
    <w:p>
      <w:r>
        <w:t>Drug-tolerant persister (DTP) states undermine durable responses in AML. While scRNA-seq can expose rare cellular states, robust deployment requires models that (i) generalize across donors/batches, (ii) calibrate decision thresholds conservatively for clinical contexts, and (iii) provide biological interpretability and therapeutic links.</w:t>
      </w:r>
    </w:p>
    <w:p>
      <w:r>
        <w:t>We develop and validate a practical framework that detects AML persister cells using a Feature Token Transformer trained on ~13,000 genes, followed by model-aware gene reduction to 1,000 features and knowledge-distilled re-training. We then refine a 500-gene panel using AML-specific dependency data (DepMap) to surface targets. The pipeline emphasizes production safeguards (coverage guards, name harmonization, bounded thresholds), interpretability (pathway/TF/drug integration), and computational efficiency.</w:t>
      </w:r>
    </w:p>
    <w:p>
      <w:pPr>
        <w:pStyle w:val="Heading1"/>
      </w:pPr>
      <w:r>
        <w:t>Results</w:t>
      </w:r>
    </w:p>
    <w:p>
      <w:r>
        <w:t>A transformer classifier robustly discriminates persister cells</w:t>
      </w:r>
    </w:p>
    <w:p>
      <w:r>
        <w:t>We trained a Feature Token Transformer on scRNA-seq datasets spanning AML and healthy contexts (10x, CSV, MTX formats). CPM followed by log1p normalization was applied; gene identifiers were harmonized (Ensembl→HGNC), duplicates merged by sum, and a common index stored.</w:t>
      </w:r>
    </w:p>
    <w:p>
      <w:r>
        <w:t>Stratified k-fold validation (never LOGO) yielded AUC-ROC 0.85–0.92, balanced accuracy 0.80–0.85, and MCC 0.65–0.75. Decision thresholds were calibrated on healthy controls targeting FPR 0.05 and constrained to [0.25, 0.75].</w:t>
      </w:r>
    </w:p>
    <w:p>
      <w:r>
        <w:t>Figure 1: (A) ROC across folds; (B) calibration curves and threshold distributions; (C) confusion matrices at the calibrated threshold.</w:t>
      </w:r>
    </w:p>
    <w:p>
      <w:r>
        <w:t>Model-aware gene reduction preserves accuracy with 10× faster inference</w:t>
      </w:r>
    </w:p>
    <w:p>
      <w:r>
        <w:t>We combined three criteria to select 1,000 genes: (A) differential expression on high-confidence model predictions; (B) PCA-based feature importance derived from model outputs/embeddings; and (C) removal of housekeeping genes while preserving AML markers (e.g., FLT3, NPM1, DNMT3A; excluding ACTB/GAPDH/ribosomal).</w:t>
      </w:r>
    </w:p>
    <w:p>
      <w:r>
        <w:t>The distilled 1k-gene model maintained AUC-ROC 0.82–0.88 with &gt;85% teacher agreement and 10× faster cell-level inference.</w:t>
      </w:r>
    </w:p>
    <w:p>
      <w:r>
        <w:t>Figure 2: (A) Teacher vs student ROC; (B) agreement histograms; (C) latency/memory profiles; (D) cross-format performance.</w:t>
      </w:r>
    </w:p>
    <w:p>
      <w:r>
        <w:t>External validation and cross-study generalization</w:t>
      </w:r>
    </w:p>
    <w:p>
      <w:r>
        <w:t>We evaluated cross-format generalization using independent cohorts and platform splits (10x vs MTX). Performance remained within reported ranges; coverage guards (minimum 50% gene overlap) blocked inference on poorly matched samples.</w:t>
      </w:r>
    </w:p>
    <w:p>
      <w:r>
        <w:t>Table 1 summarizes cohort characteristics and format coverage; Figure 2D shows performance by platform.</w:t>
      </w:r>
    </w:p>
    <w:p>
      <w:r>
        <w:t>Therapeutic refinement yields a 500-gene dependency-enriched panel</w:t>
      </w:r>
    </w:p>
    <w:p>
      <w:r>
        <w:t>DepMap integration ranked the 1k features by AML dependency. We derived a 500-gene therapeutic panel and a wet_lab_top100_genes.csv shortlist.</w:t>
      </w:r>
    </w:p>
    <w:p>
      <w:r>
        <w:t>Figure 3: (A) dependency distributions; Table 2: top 20 genes with ranks and annotations; Supplementary Data: full dependency metrics.</w:t>
      </w:r>
    </w:p>
    <w:p>
      <w:r>
        <w:t>Pathway/TF networks and module activity highlight actionable circuits</w:t>
      </w:r>
    </w:p>
    <w:p>
      <w:r>
        <w:t>KEGG enrichment with FDR control and TF regulatory analysis (DoRothEA) revealed signaling modules consistent with AML biology. Drug-pathway mapping linked prioritized genes to tractable interventions.</w:t>
      </w:r>
    </w:p>
    <w:p>
      <w:r>
        <w:t>Module scoring (PCA-based) separated AML from healthy with large effects (Cohen’s d) and strong AUCs.</w:t>
      </w:r>
    </w:p>
    <w:p>
      <w:r>
        <w:t>Figure 4: (A) KEGG enrichment; (B) TF network; (C) drug-pathway mapping; (D) module score separation.</w:t>
      </w:r>
    </w:p>
    <w:p>
      <w:r>
        <w:t>Ablations and uncertainty estimation</w:t>
      </w:r>
    </w:p>
    <w:p>
      <w:r>
        <w:t>Ablations removing each gene-reduction component (A/B/C) reduced AUC by 1.2–3.8 points, supporting complementary value.</w:t>
      </w:r>
    </w:p>
    <w:p>
      <w:r>
        <w:t>Removing threshold bounds increased between-fold variance and downstream FPR on healthy samples.</w:t>
      </w:r>
    </w:p>
    <w:p>
      <w:r>
        <w:t>Monte Carlo dropout approximations yielded well-calibrated uncertainty; high-uncertainty cells were enriched for low coverage or borderline predictions.</w:t>
      </w:r>
    </w:p>
    <w:p>
      <w:r>
        <w:t>Figure 5: (A) ablations; (B) effect of unbounded thresholds; (C) uncertainty vs coverage.</w:t>
      </w:r>
    </w:p>
    <w:p>
      <w:pPr>
        <w:pStyle w:val="Heading1"/>
      </w:pPr>
      <w:r>
        <w:t>Discussion</w:t>
      </w:r>
    </w:p>
    <w:p>
      <w:r>
        <w:t>We provide a rigorous, deployable framework that integrates modern attention models with conservative thresholding, interpretable biology, and therapeutic grounding. The distilled 1k model balances performance and efficiency, while the 500-gene panel focuses experimental follow-up.</w:t>
      </w:r>
    </w:p>
    <w:p>
      <w:r>
        <w:t>Limitations: Although stratified validation and external checks were used, multi-center prospective studies and treatment-timepoint sampling will further test generalizability. Dependency rankings are correlative and require functional validation. Residual batch effects may still influence thresholds; adaptive cohort-specific calibration is a practical extension.</w:t>
      </w:r>
    </w:p>
    <w:p>
      <w:r>
        <w:t>Outlook: The framework naturally extends to multi-omics (scATAC/CITE-seq), sparse-attention variants, and longitudinal modeling of persister emergence under therapy.</w:t>
      </w:r>
    </w:p>
    <w:p>
      <w:pPr>
        <w:pStyle w:val="Heading1"/>
      </w:pPr>
      <w:r>
        <w:t>Materials and Methods</w:t>
      </w:r>
    </w:p>
    <w:p>
      <w:pPr>
        <w:pStyle w:val="Heading2"/>
      </w:pPr>
      <w:r>
        <w:t>Data sources</w:t>
      </w:r>
    </w:p>
    <w:p>
      <w:r>
        <w:t>Public scRNA-seq datasets were used, including GEO GSE123902 and GSE120221, and AML 10x-format directories. All data were de-identified; no new human subjects were recruited.</w:t>
      </w:r>
    </w:p>
    <w:p>
      <w:pPr>
        <w:pStyle w:val="Heading2"/>
      </w:pPr>
      <w:r>
        <w:t>Preprocessing</w:t>
      </w:r>
    </w:p>
    <w:p>
      <w:r>
        <w:t>Raw counts underwent CPM then log1p transformation. Gene identifiers were harmonized (Ensembl→HGNC) using a curated mapping; duplicates were merged by sum. A metadata/common_genes.txt file defines training order. Cells/samples with extreme library sizes or mitochondrial RNA fractions were filtered.</w:t>
      </w:r>
    </w:p>
    <w:p>
      <w:pPr>
        <w:pStyle w:val="Heading2"/>
      </w:pPr>
      <w:r>
        <w:t>Model architecture and training</w:t>
      </w:r>
    </w:p>
    <w:p>
      <w:r>
        <w:t>Cells are represented as sequences of gene tokens with learned embeddings and multi-head self-attention (Feature Token Transformer). The classifier head outputs persister probabilities. Class imbalance was handled via class weighting. Training used TensorFlow (≥2.13).</w:t>
      </w:r>
    </w:p>
    <w:p>
      <w:pPr>
        <w:pStyle w:val="Heading2"/>
      </w:pPr>
      <w:r>
        <w:t>Validation and calibration</w:t>
      </w:r>
    </w:p>
    <w:p>
      <w:r>
        <w:t>Stratified k-fold validation (never LOGO). Primary metrics: AUC-ROC, balanced accuracy, MCC; secondary: AUPRC, sensitivity at fixed FPR. Thresholds calibrated on healthy controls to target FPR=0.05 with bounds [0.25, 0.75]. 95% CIs via bootstrap where applicable.</w:t>
      </w:r>
    </w:p>
    <w:p>
      <w:pPr>
        <w:pStyle w:val="Heading2"/>
      </w:pPr>
      <w:r>
        <w:t>Model-aware gene reduction and distillation</w:t>
      </w:r>
    </w:p>
    <w:p>
      <w:r>
        <w:t>Gene selection combined differential expression on high-confidence predictions, PCA-based importance, and housekeeping filters preserving AML markers. The 1k model trained with a convex combination of soft teacher and hard labels (α≈0.7).</w:t>
      </w:r>
    </w:p>
    <w:p>
      <w:pPr>
        <w:pStyle w:val="Heading2"/>
      </w:pPr>
      <w:r>
        <w:t>DepMap integration</w:t>
      </w:r>
    </w:p>
    <w:p>
      <w:r>
        <w:t>AML-lineage dependency scores ranked the 1k features; we produced a 500-gene panel plus a top-100 shortlist for wet-lab validation.</w:t>
      </w:r>
    </w:p>
    <w:p>
      <w:pPr>
        <w:pStyle w:val="Heading2"/>
      </w:pPr>
      <w:r>
        <w:t>Pathway, TF, and drug integration</w:t>
      </w:r>
    </w:p>
    <w:p>
      <w:r>
        <w:t>KEGG enrichment (FDR Benjamini–Hochberg) and DoRothEA TF analysis were run; interactive networks exported to results/pathway_analysis/pathway_network.html; drug-pathway mapping produced CSV tables.</w:t>
      </w:r>
    </w:p>
    <w:p>
      <w:pPr>
        <w:pStyle w:val="Heading2"/>
      </w:pPr>
      <w:r>
        <w:t>Module-based scoring</w:t>
      </w:r>
    </w:p>
    <w:p>
      <w:r>
        <w:t>Per-sample module scores (PCA-based) summarized with AUC and Cohen’s d; results in module_scores.csv.</w:t>
      </w:r>
    </w:p>
    <w:p>
      <w:pPr>
        <w:pStyle w:val="Heading2"/>
      </w:pPr>
      <w:r>
        <w:t>Computational environment and deployment</w:t>
      </w:r>
    </w:p>
    <w:p>
      <w:r>
        <w:t>Training requires an NVIDIA A100 (40GB VRAM recommended), ~180GB RAM, and ~500GB storage. Inference supports 10x, CSV, MTX with automatic gene alignment and coverage guards (≥50%). Batched inference (8192 cells/batch), sparse matrices, and float32 are used. SLURM batch scripts orchestrate HPC jobs.</w:t>
      </w:r>
    </w:p>
    <w:p>
      <w:pPr>
        <w:pStyle w:val="Heading1"/>
      </w:pPr>
      <w:r>
        <w:t>Data Availability</w:t>
      </w:r>
    </w:p>
    <w:p>
      <w:r>
        <w:t>Public datasets: GEO GSE123902, GSE120221; AML 10x directories described in the repository. Derived artifacts (gene lists, reduced models, pathway outputs) are in results/.</w:t>
      </w:r>
    </w:p>
    <w:p>
      <w:pPr>
        <w:pStyle w:val="Heading1"/>
      </w:pPr>
      <w:r>
        <w:t>Code Availability</w:t>
      </w:r>
    </w:p>
    <w:p>
      <w:r>
        <w:t>Repository: https://github.com/jyotidiplearning99/AML_Persister_Analysis</w:t>
      </w:r>
    </w:p>
    <w:p>
      <w:pPr>
        <w:pStyle w:val="Heading1"/>
      </w:pPr>
      <w:r>
        <w:t>Reporting and Reproducibility</w:t>
      </w:r>
    </w:p>
    <w:p>
      <w:r>
        <w:t>We provide a TRIPOD-ML checklist (Supplementary), a Model Card, and a Datasheet for Datasets. Random seeds fixed where applicable; confidence intervals reported for key metrics.</w:t>
      </w:r>
    </w:p>
    <w:p>
      <w:pPr>
        <w:pStyle w:val="Heading1"/>
      </w:pPr>
      <w:r>
        <w:t>Ethics Statement</w:t>
      </w:r>
    </w:p>
    <w:p>
      <w:r>
        <w:t>All analyses used de-identified public data; no new human or animal subjects were involved.</w:t>
      </w:r>
    </w:p>
    <w:p>
      <w:pPr>
        <w:pStyle w:val="Heading1"/>
      </w:pPr>
      <w:r>
        <w:t>Acknowledgements</w:t>
      </w:r>
    </w:p>
    <w:p>
      <w:r>
        <w:t>We thank the DepMap Consortium, KEGG, and DoRothEA communities. We acknowledge HPC/SLURM resources.</w:t>
      </w:r>
    </w:p>
    <w:p>
      <w:pPr>
        <w:pStyle w:val="Heading1"/>
      </w:pPr>
      <w:r>
        <w:t>Funding</w:t>
      </w:r>
    </w:p>
    <w:p>
      <w:r>
        <w:t>None declared.</w:t>
      </w:r>
    </w:p>
    <w:p>
      <w:pPr>
        <w:pStyle w:val="Heading1"/>
      </w:pPr>
      <w:r>
        <w:t>Author Contributions</w:t>
      </w:r>
    </w:p>
    <w:p>
      <w:r>
        <w:t>J.B. conceived the study, implemented the pipeline, performed analyses, interpreted results, and wrote the manuscript.</w:t>
      </w:r>
    </w:p>
    <w:p>
      <w:pPr>
        <w:pStyle w:val="Heading1"/>
      </w:pPr>
      <w:r>
        <w:t>Competing Interests</w:t>
      </w:r>
    </w:p>
    <w:p>
      <w:r>
        <w:t>The author declares no competing interests.</w:t>
      </w:r>
    </w:p>
    <w:p>
      <w:pPr>
        <w:pStyle w:val="Heading1"/>
      </w:pPr>
      <w:r>
        <w:t>Figure Legends</w:t>
      </w:r>
    </w:p>
    <w:p>
      <w:r>
        <w:t>Figure 1. Full-model performance and calibration. (A) ROC across folds. (B) Calibration curves with bounded thresholds [0.25, 0.75]. (C) Confusion matrices at calibrated threshold.</w:t>
      </w:r>
    </w:p>
    <w:p>
      <w:r>
        <w:t>Figure 2. Distilled model and generalization. (A) Teacher vs. student ROC (1k genes). (B) Agreement histogram (&gt;85%). (C) Inference speed/memory. (D) Cross-format performance (10x vs. MTX).</w:t>
      </w:r>
    </w:p>
    <w:p>
      <w:r>
        <w:t>Figure 3. Therapeutic refinement. (A) AML dependency distributions (DepMap). (B) Top targets (table inset).</w:t>
      </w:r>
    </w:p>
    <w:p>
      <w:r>
        <w:t>Figure 4. Biology and interpretation. (A) KEGG enrichment (FDR). (B) TF network. (C) Drug-pathway mapping. (D) Module score separation (AUC, Cohen’s d).</w:t>
      </w:r>
    </w:p>
    <w:p>
      <w:r>
        <w:t>Figure 5. Ablations and uncertainty. (A) Removal of A/B/C components. (B) Effect of unbounded thresholds. (C) MC-dropout uncertainty vs. coverage.</w:t>
      </w:r>
    </w:p>
    <w:p>
      <w:pPr>
        <w:pStyle w:val="Heading1"/>
      </w:pPr>
      <w:r>
        <w:t>Tables</w:t>
      </w:r>
    </w:p>
    <w:p>
      <w:r>
        <w:t>Table 1. Cohort characteristics, formats, and coverage</w:t>
      </w:r>
    </w:p>
    <w:p>
      <w:r>
        <w:t>- Add rows: cohort name, n cells, platform (10x/MTX/CSV), % gene overlap, notes.</w:t>
      </w:r>
    </w:p>
    <w:p/>
    <w:p>
      <w:r>
        <w:t>Table 2. Top 20 genes from the 500-gene panel with dependency ranks</w:t>
      </w:r>
    </w:p>
    <w:p>
      <w:r>
        <w:t>- Add columns: Gene, DepMap rank (AML), Effect size/score, Pathway, Drug links.</w:t>
      </w:r>
    </w:p>
    <w:p/>
    <w:p>
      <w:r>
        <w:t>Table 3. Performance summary with 95% CIs</w:t>
      </w:r>
    </w:p>
    <w:p>
      <w:r>
        <w:t>- Add rows for Full (13k) and Reduced (1k): AUC-ROC, Balanced Accuracy, MCC, AUPRC.</w:t>
      </w:r>
    </w:p>
    <w:p/>
    <w:p>
      <w:pPr>
        <w:pStyle w:val="Heading1"/>
      </w:pPr>
      <w:r>
        <w:t>References</w:t>
      </w:r>
    </w:p>
    <w:p>
      <w:r>
        <w:t>- Vaswani A. Attention Is All You Need. 2017.</w:t>
      </w:r>
    </w:p>
    <w:p>
      <w:r>
        <w:t>- DepMap Consortium. DepMap Public resource.</w:t>
      </w:r>
    </w:p>
    <w:p>
      <w:r>
        <w:t>- Kanehisa M, et al. KEGG.</w:t>
      </w:r>
    </w:p>
    <w:p>
      <w:r>
        <w:t>- DoRothEA transcription factor regulons.</w:t>
      </w:r>
    </w:p>
    <w:p>
      <w:r>
        <w:t>- GEO: GSE123902, GSE120221.</w:t>
      </w:r>
    </w:p>
    <w:p>
      <w:r>
        <w:br w:type="page"/>
      </w:r>
    </w:p>
    <w:p>
      <w:pPr>
        <w:pStyle w:val="Heading1"/>
      </w:pPr>
      <w:r>
        <w:t>Update – External Validation, AML–HSPC Score, and Dependency/Druggability Analyses (Oct 2025)</w:t>
      </w:r>
    </w:p>
    <w:p>
      <w:r>
        <w:t>Update – External Validation, AML–HSPC Score, and Dependency/Druggability Analyses (Oct 2025)</w:t>
      </w:r>
    </w:p>
    <w:p/>
    <w:p>
      <w:r>
        <w:t>Summary of new findings</w:t>
      </w:r>
    </w:p>
    <w:p>
      <w:pPr>
        <w:pStyle w:val="ListBullet"/>
      </w:pPr>
      <w:r>
        <w:t>AML–HSPC bulk score: A simple gene-set score (mean[Top50 AML↑] − mean[Top50 AML↓]) derived from hematopoietic contrasts robustly separates AML from HSPC in GSE74246 and generalizes to GSE125345, where healthy hematopoietic populations largely score below the AML decision threshold.</w:t>
      </w:r>
    </w:p>
    <w:p>
      <w:pPr>
        <w:pStyle w:val="ListBullet"/>
      </w:pPr>
      <w:r>
        <w:t>Bulk RNA‑seq cohorts (persister classifier, 1k genes): After harmonized preprocessing and strict gene alignment, persister prevalence was 61.1% in BeatAML (n=452) and 57.2% in TCGA-LAML (n=173) at the pre‑specified threshold τ=0.31; distributions were similar (Mann–Whitney p=0.666). A sensitivity sweep showed τ≈0.35 gives nearly identical prevalences (Δ≈1.1%).</w:t>
      </w:r>
    </w:p>
    <w:p>
      <w:pPr>
        <w:pStyle w:val="ListBullet"/>
      </w:pPr>
      <w:r>
        <w:t>Clinical associations: In TCGA/BeatAML, persister probability was not significantly associated with overall survival. In BeatAML, higher persister probability was positively correlated with ex‑vivo drug AUC across venetoclax and several induction/targeted agents, consistent with greater drug tolerance.</w:t>
      </w:r>
    </w:p>
    <w:p>
      <w:pPr>
        <w:pStyle w:val="ListBullet"/>
      </w:pPr>
      <w:r>
        <w:t>DepMap (combination/set essentiality): Using CRISPR effect data across AML vs. non‑AML cell lines, the AML‑up gene set shows significantly more negative mean dependency in AML (AUC≈0.62–0.64; MWU p≈9e‑4–3e‑3), while ‘top‑M’ aggregators are not significant—supporting a distributed, polygenic dependency rather than single‑gene essentials.</w:t>
      </w:r>
    </w:p>
    <w:p>
      <w:pPr>
        <w:pStyle w:val="ListBullet"/>
      </w:pPr>
      <w:r>
        <w:t>Druggability &amp; cell communication: CellPhoneDB-based annotation highlights few high-confidence surface/antibody targets within the current signature; CD33 and FLT3 are prominent. TGFB2 emerges as a neutralizable secreted factor candidate.</w:t>
      </w:r>
    </w:p>
    <w:p>
      <w:pPr>
        <w:pStyle w:val="ListBullet"/>
      </w:pPr>
      <w:r>
        <w:t>GSE74246 caveat: Extremely high persister probabilities (~97.5%) likely reflect sorted blast/LSC enrichment and study‑specific normalization. Module scores (stemness/quiescence/drug resistance/proliferation) behave biologically plausibly across AML vs. normal subsets.</w:t>
      </w:r>
    </w:p>
    <w:p/>
    <w:p>
      <w:r>
        <w:t>Methods highlights for the new analyses</w:t>
      </w:r>
    </w:p>
    <w:p>
      <w:pPr>
        <w:pStyle w:val="ListBullet"/>
      </w:pPr>
      <w:r>
        <w:t>AML–HSPC score: Genes were selected as the top/bottom 50 by log2FC from GSE74246 within the distilled 1,000‑gene universe and filtered by expression. The per‑sample score equals mean of AML‑up genes minus mean of AML‑down genes.</w:t>
      </w:r>
    </w:p>
    <w:p>
      <w:pPr>
        <w:pStyle w:val="ListBullet"/>
      </w:pPr>
      <w:r>
        <w:t>Cross‑dataset transfer: For GSE125345 (cord‑blood HSPC subsets), we computed the same score using gene intersections; healthy subsets (LT‑HSC/ST‑HSC/MPP/CMP/GMP/MLP) predominantly fell below the AML threshold.</w:t>
      </w:r>
    </w:p>
    <w:p>
      <w:pPr>
        <w:pStyle w:val="ListBullet"/>
      </w:pPr>
      <w:r>
        <w:t>Bulk cohorts (BeatAML, TCGA-LAML): Counts were harmonized (CPM→log1p), gene IDs aligned to the 1k model training order, and coverage guards enforced. Pre‑specified τ was used; threshold sensitivity analysis probed nearby τ values.</w:t>
      </w:r>
    </w:p>
    <w:p>
      <w:pPr>
        <w:pStyle w:val="ListBullet"/>
      </w:pPr>
      <w:r>
        <w:t>DepMap set essentiality: For each lineage, we computed (i) mean CRISPR effect across the set and (ii) top‑M worst effects per line; AML vs. non‑AML discrimination was assessed by AUC and MWU. Decile‑matched permutations provided empirical nulls (matched on baseline expression/dependency). Results favor mean‑set load over top‑M extremes.</w:t>
      </w:r>
    </w:p>
    <w:p>
      <w:pPr>
        <w:pStyle w:val="ListBullet"/>
      </w:pPr>
      <w:r>
        <w:t>Druggability: Signature genes were cross‑referenced with CellPhoneDB receptor/ligand catalogs; surface antigens and antibody‑amenable targets were flagged. TGFB2 scored as secreted cytokine/growth factor (non‑receptor).</w:t>
      </w:r>
    </w:p>
    <w:p/>
    <w:p>
      <w:r>
        <w:t>Key quantitative readouts now available</w:t>
      </w:r>
    </w:p>
    <w:p>
      <w:pPr>
        <w:pStyle w:val="ListBullet"/>
      </w:pPr>
      <w:r>
        <w:t>Persister prevalence (bulk): BeatAML 61.1%, TCGA‑LAML 57.2% at τ=0.31; distributions not different (MWU p=0.666). Threshold τ≈0.35 leaves prevalence nearly unchanged (Δ≈1.1%).</w:t>
      </w:r>
    </w:p>
    <w:p>
      <w:pPr>
        <w:pStyle w:val="ListBullet"/>
      </w:pPr>
      <w:r>
        <w:t>DepMap AML set essentiality (AML‑up genes, use‑up‑only=True): mean‑set AUC ≈0.62–0.64 (p≈9e‑4–3e‑3); top‑5 aggregator AUC ≈0.51–0.56 (ns). Interpretation: AML cells carry modest but consistent synthetic load across many genes, rather than dependence on a few dominants.</w:t>
      </w:r>
    </w:p>
    <w:p>
      <w:pPr>
        <w:pStyle w:val="ListBullet"/>
      </w:pPr>
      <w:r>
        <w:t>GSE74246 modules (no re‑normalization): STEMNESS and PROLIFERATION higher in normal progenitors vs. mature; AML shows elevated QUIESCENCE/DRUG‑RESISTANCE patterns relative to mature cells; results are robust to log2/TPM/logCPM transforms.</w:t>
      </w:r>
    </w:p>
    <w:p/>
    <w:p>
      <w:r>
        <w:t>Implications</w:t>
      </w:r>
    </w:p>
    <w:p>
      <w:r>
        <w:t>1) The hematopoietic AML–HSPC score is directionally consistent across cohorts and may serve as a simple orthogonal axis next to the persister classifier.</w:t>
      </w:r>
    </w:p>
    <w:p>
      <w:r>
        <w:t>2) Lack of single‑gene essentials plus DepMap set‑level signal argues for combination strategies (poly‑target perturbation or pathway‑level interventions).</w:t>
      </w:r>
    </w:p>
    <w:p>
      <w:r>
        <w:t>3) Drug associations in BeatAML suggest the persister probability could stratify sensitivity to venetoclax/induction regimens; prospective validation is warranted.</w:t>
      </w:r>
    </w:p>
    <w:p>
      <w:r>
        <w:t>4) Limited surface target density (beyond CD33/FLT3) points to alternative modalities (secreted factor blockade, microenvironmental modulation, synthetic lethalities).</w:t>
      </w:r>
    </w:p>
    <w:p/>
    <w:p>
      <w:r>
        <w:t>Planned next steps</w:t>
      </w:r>
    </w:p>
    <w:p>
      <w:pPr>
        <w:pStyle w:val="ListBullet"/>
      </w:pPr>
      <w:r>
        <w:t>External robustness: Re‑test AML–HSPC score and persister classifier on additional public bulk cohorts and our longitudinal bulk RNA‑seq (pre/post‑therapy) with blast% as covariate.</w:t>
      </w:r>
    </w:p>
    <w:p>
      <w:pPr>
        <w:pStyle w:val="ListBullet"/>
      </w:pPr>
      <w:r>
        <w:t>Clinical linkage: Bin persister probability into tertiles and evaluate enrichment of ELN/adverse risk and measurable residual disease (MRD) where available.</w:t>
      </w:r>
    </w:p>
    <w:p>
      <w:pPr>
        <w:pStyle w:val="ListBullet"/>
      </w:pPr>
      <w:r>
        <w:t>Mechanism: Integrate pathway‑constrained regularization and test RTK/morphogenesis sub‑modules; explore combinatorial CRISPR viability under pairwise/triad perturbations guided by set‑essentiality.</w:t>
      </w:r>
    </w:p>
    <w:p>
      <w:pPr>
        <w:pStyle w:val="ListBullet"/>
      </w:pPr>
      <w:r>
        <w:t>Wet‑lab: Share ‘wet_lab_top100_genes.csv’ and the DepMap‑weighted shortlist to design multiplex perturbations; prioritize TGFB2 axis and CD33/FLT3 antibodies for feasibility.</w:t>
      </w:r>
    </w:p>
    <w:p/>
    <w:p>
      <w:r>
        <w:t>Reproducibility notes</w:t>
      </w:r>
    </w:p>
    <w:p>
      <w:pPr>
        <w:pStyle w:val="ListBullet"/>
      </w:pPr>
      <w:r>
        <w:t>Key outputs are archived in results/Hematopoietic_Cells_Healthy_AML_analysis/ and depmap_combo/ (scores, summaries, and plots). BeatAML/TCGA summaries include prevalence curves, KM plots (non‑significant), and drug‑AUC associations.</w:t>
      </w:r>
    </w:p>
    <w:p/>
    <w:p>
      <w:pPr>
        <w:pStyle w:val="Heading1"/>
      </w:pPr>
      <w:r>
        <w:t>Update – External Validation, AML–HSPC Score, and Dependency/Druggability Analyses (Oct 2025)</w:t>
      </w:r>
    </w:p>
    <w:p>
      <w:pPr>
        <w:pStyle w:val="Heading2"/>
      </w:pPr>
      <w:r>
        <w:t>Summary of new findings</w:t>
      </w:r>
    </w:p>
    <w:p>
      <w:r>
        <w:rPr>
          <w:sz w:val="22"/>
        </w:rPr>
        <w:t>• AML–HSPC bulk score: A simple gene‑set score (mean[Top50 AML↑] − mean[Top50 AML↓]) derived from hematopoietic contrasts robustly separates AML from HSPC in GSE74246 and generalizes to GSE125345, where healthy hematopoietic populations mostly score below the AML decision threshold.</w:t>
      </w:r>
    </w:p>
    <w:p>
      <w:r>
        <w:rPr>
          <w:sz w:val="22"/>
        </w:rPr>
        <w:t>• Bulk RNA‑seq cohorts (persister classifier, 1k genes): After harmonized preprocessing and strict gene alignment, persister prevalence was 61.1% in BeatAML (n=452) and 57.2% in TCGA‑LAML (n=173) at the pre‑specified threshold τ=0.31; distributions were similar (Mann–Whitney p=0.666). A sensitivity sweep showed τ≈0.35 gives nearly identical prevalences (Δ≈1.1%).</w:t>
      </w:r>
    </w:p>
    <w:p>
      <w:r>
        <w:rPr>
          <w:sz w:val="22"/>
        </w:rPr>
        <w:t>• Clinical associations: In TCGA/BeatAML, persister probability was not significantly associated with overall survival. In BeatAML, higher persister probability correlated positively with ex‑vivo drug AUC across venetoclax and multiple induction/targeted agents, consistent with greater drug tolerance.</w:t>
      </w:r>
    </w:p>
    <w:p>
      <w:r>
        <w:rPr>
          <w:sz w:val="22"/>
        </w:rPr>
        <w:t>• DepMap (combination/set essentiality): Using CRISPR effect data across AML vs. non‑AML lines, the AML‑up gene set shows significantly more negative mean dependency in AML (AUC≈0.62–0.64; MWU p≈9e‑4–3e‑3), while top‑M aggregators were not significant—supporting a distributed, polygenic dependency rather than single‑gene essentials.</w:t>
      </w:r>
    </w:p>
    <w:p>
      <w:r>
        <w:rPr>
          <w:sz w:val="22"/>
        </w:rPr>
        <w:t>• Druggability &amp; communication: CellPhoneDB annotation highlights few strong surface/antibody targets in the signature; CD33 and FLT3 are prominent. TGFB2 emerges as a neutralizable secreted factor candidate.</w:t>
      </w:r>
    </w:p>
    <w:p>
      <w:r>
        <w:rPr>
          <w:sz w:val="22"/>
        </w:rPr>
        <w:t>• GSE74246 caveat: Very high persister probabilities (~97.5%) likely reflect sorted blast/LSC enrichment and study‑specific normalization; module scores (stemness/quiescence/drug resistance/proliferation) show biologically plausible patterns.</w:t>
      </w:r>
    </w:p>
    <w:p>
      <w:pPr>
        <w:pStyle w:val="Heading2"/>
      </w:pPr>
      <w:r>
        <w:t>Methods highlights for the new analyses</w:t>
      </w:r>
    </w:p>
    <w:p>
      <w:r>
        <w:rPr>
          <w:b/>
        </w:rPr>
        <w:t xml:space="preserve">AML–HSPC score: </w:t>
      </w:r>
      <w:r>
        <w:t>Top/bottom 50 genes by log2 fold‑change from GSE74246 within the distilled 1,000‑gene universe; per‑sample score equals mean(AML‑up) − mean(AML‑down).</w:t>
      </w:r>
    </w:p>
    <w:p>
      <w:r>
        <w:rPr>
          <w:b/>
        </w:rPr>
        <w:t xml:space="preserve">Cross‑dataset transfer: </w:t>
      </w:r>
      <w:r>
        <w:t>Applied same score to GSE125345 (cord‑blood HSPC subsets) using gene intersections; healthy LT‑HSC/ST‑HSC/MPP/CMP/GMP/MLP mostly below AML threshold.</w:t>
      </w:r>
    </w:p>
    <w:p>
      <w:r>
        <w:rPr>
          <w:b/>
        </w:rPr>
        <w:t xml:space="preserve">Bulk cohorts: </w:t>
      </w:r>
      <w:r>
        <w:t>Counts harmonized (CPM→log1p), gene IDs aligned to 1k training order, coverage guards enforced; τ fixed at 0.31 with sensitivity sweep around τ≈0.35.</w:t>
      </w:r>
    </w:p>
    <w:p>
      <w:r>
        <w:rPr>
          <w:b/>
        </w:rPr>
        <w:t xml:space="preserve">DepMap set essentiality: </w:t>
      </w:r>
      <w:r>
        <w:t>Computed mean CRISPR effect per line over the set and top‑M worst effects; AML vs. non‑AML discrimination via AUC &amp; MWU; decile‑matched permutations as empirical nulls.</w:t>
      </w:r>
    </w:p>
    <w:p>
      <w:r>
        <w:rPr>
          <w:b/>
        </w:rPr>
        <w:t xml:space="preserve">Druggability: </w:t>
      </w:r>
      <w:r>
        <w:t>Cross‑referenced signature with CellPhoneDB receptor/ligand catalogs; flagged surface antigens and neutralizable secreted factors (e.g., TGFB2).</w:t>
      </w:r>
    </w:p>
    <w:p>
      <w:pPr>
        <w:pStyle w:val="Heading2"/>
      </w:pPr>
      <w:r>
        <w:t>Key quantitative readouts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Persister prevalence (BeatAML)</w:t>
            </w:r>
          </w:p>
        </w:tc>
        <w:tc>
          <w:tcPr>
            <w:tcW w:type="dxa" w:w="2880"/>
          </w:tcPr>
          <w:p>
            <w:r>
              <w:t>61.1% @ τ=0.31</w:t>
            </w:r>
          </w:p>
        </w:tc>
        <w:tc>
          <w:tcPr>
            <w:tcW w:type="dxa" w:w="2880"/>
          </w:tcPr>
          <w:p>
            <w:r>
              <w:t>n=452; τ≈0.35 → Δ≈1.1%</w:t>
            </w:r>
          </w:p>
        </w:tc>
      </w:tr>
      <w:tr>
        <w:tc>
          <w:tcPr>
            <w:tcW w:type="dxa" w:w="2880"/>
          </w:tcPr>
          <w:p>
            <w:r>
              <w:t>Persister prevalence (TCGA‑LAML)</w:t>
            </w:r>
          </w:p>
        </w:tc>
        <w:tc>
          <w:tcPr>
            <w:tcW w:type="dxa" w:w="2880"/>
          </w:tcPr>
          <w:p>
            <w:r>
              <w:t>57.2% @ τ=0.31</w:t>
            </w:r>
          </w:p>
        </w:tc>
        <w:tc>
          <w:tcPr>
            <w:tcW w:type="dxa" w:w="2880"/>
          </w:tcPr>
          <w:p>
            <w:r>
              <w:t>n=173; MWU vs BeatAML p=0.666</w:t>
            </w:r>
          </w:p>
        </w:tc>
      </w:tr>
      <w:tr>
        <w:tc>
          <w:tcPr>
            <w:tcW w:type="dxa" w:w="2880"/>
          </w:tcPr>
          <w:p>
            <w:r>
              <w:t>DepMap set essentiality (AML‑up, mean)</w:t>
            </w:r>
          </w:p>
        </w:tc>
        <w:tc>
          <w:tcPr>
            <w:tcW w:type="dxa" w:w="2880"/>
          </w:tcPr>
          <w:p>
            <w:r>
              <w:t>AUC≈0.62–0.64</w:t>
            </w:r>
          </w:p>
        </w:tc>
        <w:tc>
          <w:tcPr>
            <w:tcW w:type="dxa" w:w="2880"/>
          </w:tcPr>
          <w:p>
            <w:r>
              <w:t>MWU p≈9e‑4–3e‑3; polygenic load</w:t>
            </w:r>
          </w:p>
        </w:tc>
      </w:tr>
      <w:tr>
        <w:tc>
          <w:tcPr>
            <w:tcW w:type="dxa" w:w="2880"/>
          </w:tcPr>
          <w:p>
            <w:r>
              <w:t>DepMap set essentiality (top‑5 aggregator)</w:t>
            </w:r>
          </w:p>
        </w:tc>
        <w:tc>
          <w:tcPr>
            <w:tcW w:type="dxa" w:w="2880"/>
          </w:tcPr>
          <w:p>
            <w:r>
              <w:t>AUC≈0.51–0.56</w:t>
            </w:r>
          </w:p>
        </w:tc>
        <w:tc>
          <w:tcPr>
            <w:tcW w:type="dxa" w:w="2880"/>
          </w:tcPr>
          <w:p>
            <w:r>
              <w:t>Not significant</w:t>
            </w:r>
          </w:p>
        </w:tc>
      </w:tr>
      <w:tr>
        <w:tc>
          <w:tcPr>
            <w:tcW w:type="dxa" w:w="2880"/>
          </w:tcPr>
          <w:p>
            <w:r>
              <w:t>GSE74246 persister probability</w:t>
            </w:r>
          </w:p>
        </w:tc>
        <w:tc>
          <w:tcPr>
            <w:tcW w:type="dxa" w:w="2880"/>
          </w:tcPr>
          <w:p>
            <w:r>
              <w:t>≈97.5% positive</w:t>
            </w:r>
          </w:p>
        </w:tc>
        <w:tc>
          <w:tcPr>
            <w:tcW w:type="dxa" w:w="2880"/>
          </w:tcPr>
          <w:p>
            <w:r>
              <w:t>Likely sorted LSC/blasts; normalization caveat</w:t>
            </w:r>
          </w:p>
        </w:tc>
      </w:tr>
    </w:tbl>
    <w:p>
      <w:pPr>
        <w:pStyle w:val="Heading2"/>
      </w:pPr>
      <w:r>
        <w:t>Implications</w:t>
      </w:r>
    </w:p>
    <w:p>
      <w:r>
        <w:t>• The hematopoietic AML–HSPC score provides an orthogonal axis to the persister classifier and behaves consistently across cohorts.</w:t>
      </w:r>
    </w:p>
    <w:p>
      <w:r>
        <w:t>• DepMap favors distributed set‑level dependency over single‑gene essentials, arguing for combination or pathway‑level perturbations.</w:t>
      </w:r>
    </w:p>
    <w:p>
      <w:r>
        <w:t>• Drug associations in BeatAML suggest higher persister probability aligns with greater ex‑vivo resistance (higher AUC); merits prospective validation.</w:t>
      </w:r>
    </w:p>
    <w:p>
      <w:r>
        <w:t>• Limited surface targets beyond CD33/FLT3 support exploring secreted‑factor blockade (e.g., TGFB2) and microenvironmental interventions.</w:t>
      </w:r>
    </w:p>
    <w:p>
      <w:pPr>
        <w:pStyle w:val="Heading2"/>
      </w:pPr>
      <w:r>
        <w:t>Planned next steps</w:t>
      </w:r>
    </w:p>
    <w:p>
      <w:r>
        <w:t>• Re‑test AML–HSPC score and persister classifier on additional public bulk cohorts and our longitudinal bulk RNA‑seq, modeling blast% as a covariate.</w:t>
      </w:r>
    </w:p>
    <w:p>
      <w:r>
        <w:t>• Risk linkage: bin persister probability (e.g., tertiles) and test enrichment of ELN/adverse‑risk &amp; MRD where available.</w:t>
      </w:r>
    </w:p>
    <w:p>
      <w:r>
        <w:t>• Mechanism: evaluate RTK/morphogenesis sub‑modules; explore pairwise/triad CRISPR perturbations guided by set‑essentiality.</w:t>
      </w:r>
    </w:p>
    <w:p>
      <w:r>
        <w:t>• Wet‑lab: share ‘wet_lab_top100_genes.csv’ and DepMap‑weighted shortlist; prioritize TGFB2 axis and CD33/FLT3 antibodies.</w:t>
      </w:r>
    </w:p>
    <w:p>
      <w:pPr>
        <w:pStyle w:val="Heading2"/>
      </w:pPr>
      <w:r>
        <w:t>Selected figures</w:t>
      </w:r>
    </w:p>
    <w:p>
      <w:r>
        <w:rPr>
          <w:b/>
        </w:rPr>
        <w:t>set_essentiality.GLOBAL_AML_vs_nonAML_plots.png</w:t>
      </w:r>
    </w:p>
    <w:p>
      <w:r>
        <w:drawing>
          <wp:inline xmlns:a="http://schemas.openxmlformats.org/drawingml/2006/main" xmlns:pic="http://schemas.openxmlformats.org/drawingml/2006/picture">
            <wp:extent cx="5486400" cy="36567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_essentiality.GLOBAL_AML_vs_nonAML_plo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6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set_essentiality_plots.png</w:t>
      </w:r>
    </w:p>
    <w:p>
      <w:r>
        <w:drawing>
          <wp:inline xmlns:a="http://schemas.openxmlformats.org/drawingml/2006/main" xmlns:pic="http://schemas.openxmlformats.org/drawingml/2006/picture">
            <wp:extent cx="5486400" cy="22851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_essentiality_plo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5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left"/>
        <w:pBdr>
          <w:bottom w:val="single" w:sz="6" w:space="1" w:color="auto"/>
        </w:pBdr>
      </w:pPr>
    </w:p>
    <w:p>
      <w:r>
        <w:rPr>
          <w:b/>
        </w:rPr>
        <w:t>Appendix: Reproducibility notes</w:t>
      </w:r>
    </w:p>
    <w:p>
      <w:r>
        <w:t>Key outputs are archived in results/Hematopoietic_Cells_Healthy_AML_analysis/ and depmap_combo/ (scores, summaries, and plots). BeatAML/TCGA summaries include prevalence curves, KM plots (non‑significant), and drug‑AUC associations.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