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3"/>
        <w:bidi w:val="0"/>
        <w:spacing w:before="140" w:after="120"/>
        <w:jc w:val="left"/>
        <w:rPr/>
      </w:pPr>
      <w:r>
        <w:rPr>
          <w:rStyle w:val="StrongEmphasis"/>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0"/>
        </w:rPr>
        <w:t>Technical System Design Document: Payment Marshal Service</w:t>
      </w:r>
    </w:p>
    <w:p>
      <w:pPr>
        <w:pStyle w:val="TextBody"/>
        <w:widowControl/>
        <w:bidi w:val="0"/>
        <w:spacing w:before="240" w:after="240"/>
        <w:ind w:left="0" w:right="0" w:hanging="0"/>
        <w:jc w:val="left"/>
        <w:rPr/>
      </w:pPr>
      <w:r>
        <w:rPr>
          <w:rStyle w:val="StrongEmphasis"/>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Document Version:</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 1.0</w:t>
        <w:br/>
      </w:r>
      <w:r>
        <w:rPr>
          <w:rStyle w:val="StrongEmphasis"/>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Status:</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 Draft for Review</w:t>
        <w:br/>
      </w:r>
      <w:r>
        <w:rPr>
          <w:rStyle w:val="StrongEmphasis"/>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Authors:</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 Jyoti, Akhilesh, Vaibhav</w:t>
        <w:br/>
      </w:r>
      <w:r>
        <w:rPr>
          <w:rStyle w:val="StrongEmphasis"/>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Last Updated:</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 [Date]</w:t>
      </w:r>
    </w:p>
    <w:p>
      <w:pPr>
        <w:pStyle w:val="HorizontalLine"/>
        <w:suppressLineNumbers/>
        <w:pBdr>
          <w:bottom w:val="double" w:sz="2" w:space="0" w:color="808080"/>
        </w:pBdr>
        <w:bidi w:val="0"/>
        <w:spacing w:before="0" w:after="283"/>
        <w:jc w:val="left"/>
        <w:rPr/>
      </w:pPr>
      <w:r>
        <w:rPr/>
      </w:r>
    </w:p>
    <w:p>
      <w:pPr>
        <w:pStyle w:val="Heading3"/>
        <w:widowControl/>
        <w:bidi w:val="0"/>
        <w:spacing w:lineRule="atLeast" w:line="450" w:before="480" w:after="240"/>
        <w:ind w:left="0" w:right="0" w:hanging="0"/>
        <w:jc w:val="lef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0"/>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0"/>
        </w:rPr>
        <w:t>1. Introduction &amp; Overview</w:t>
      </w:r>
    </w:p>
    <w:p>
      <w:pPr>
        <w:pStyle w:val="TextBody"/>
        <w:widowControl/>
        <w:bidi w:val="0"/>
        <w:spacing w:before="240" w:after="240"/>
        <w:ind w:left="0" w:right="0" w:hanging="0"/>
        <w:jc w:val="left"/>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The </w:t>
      </w:r>
      <w:r>
        <w:rPr>
          <w:rStyle w:val="StrongEmphasis"/>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Payment Marshal Service</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 is a new backend service designed to manage account-level locking during bulk transaction processing. Its primary role is to ensure data consistency and prevent race conditions by serializing access to accounts that are being debited or credited concurrently by different transactions.</w:t>
      </w:r>
    </w:p>
    <w:p>
      <w:pPr>
        <w:pStyle w:val="TextBody"/>
        <w:widowControl/>
        <w:bidi w:val="0"/>
        <w:spacing w:before="240" w:after="240"/>
        <w:ind w:left="0" w:right="0" w:hanging="0"/>
        <w:jc w:val="left"/>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This service integrates with the new </w:t>
      </w:r>
      <w:r>
        <w:rPr>
          <w:rStyle w:val="StrongEmphasis"/>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Accounting Entry Service</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 to provide a safe and consistent mechanism for processing high-volume financial transactions, such as Single Debit-Multiple Credit (SDMC) and Single Debit-Single Credit (SDSC).</w:t>
      </w:r>
    </w:p>
    <w:p>
      <w:pPr>
        <w:pStyle w:val="Heading3"/>
        <w:widowControl/>
        <w:bidi w:val="0"/>
        <w:spacing w:lineRule="atLeast" w:line="450" w:before="480" w:after="240"/>
        <w:ind w:left="0" w:right="0" w:hanging="0"/>
        <w:jc w:val="lef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0"/>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0"/>
        </w:rPr>
        <w:t>2. Business Goals &amp; Non-Functional Requirements (NFRs)</w:t>
      </w:r>
    </w:p>
    <w:p>
      <w:pPr>
        <w:pStyle w:val="TextBody"/>
        <w:widowControl/>
        <w:numPr>
          <w:ilvl w:val="0"/>
          <w:numId w:val="1"/>
        </w:numPr>
        <w:pBdr/>
        <w:tabs>
          <w:tab w:val="clear" w:pos="709"/>
          <w:tab w:val="left" w:pos="0" w:leader="none"/>
        </w:tabs>
        <w:bidi w:val="0"/>
        <w:spacing w:before="0" w:after="0"/>
        <w:ind w:left="0" w:right="0" w:hanging="0"/>
        <w:jc w:val="left"/>
        <w:rPr/>
      </w:pPr>
      <w:r>
        <w:rPr>
          <w:rStyle w:val="StrongEmphasis"/>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Data Consistency:</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 Ensure that account balances are always accurate, even under high concurrency.</w:t>
      </w:r>
    </w:p>
    <w:p>
      <w:pPr>
        <w:pStyle w:val="TextBody"/>
        <w:widowControl/>
        <w:numPr>
          <w:ilvl w:val="0"/>
          <w:numId w:val="1"/>
        </w:numPr>
        <w:pBdr/>
        <w:tabs>
          <w:tab w:val="clear" w:pos="709"/>
          <w:tab w:val="left" w:pos="0" w:leader="none"/>
        </w:tabs>
        <w:bidi w:val="0"/>
        <w:spacing w:before="0" w:after="0"/>
        <w:ind w:left="0" w:right="0" w:hanging="0"/>
        <w:jc w:val="left"/>
        <w:rPr/>
      </w:pPr>
      <w:r>
        <w:rPr>
          <w:rStyle w:val="StrongEmphasis"/>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High Throughput:</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 Efficiently process a large volume of simultaneous transactions.</w:t>
      </w:r>
    </w:p>
    <w:p>
      <w:pPr>
        <w:pStyle w:val="TextBody"/>
        <w:widowControl/>
        <w:numPr>
          <w:ilvl w:val="0"/>
          <w:numId w:val="1"/>
        </w:numPr>
        <w:pBdr/>
        <w:tabs>
          <w:tab w:val="clear" w:pos="709"/>
          <w:tab w:val="left" w:pos="0" w:leader="none"/>
        </w:tabs>
        <w:bidi w:val="0"/>
        <w:spacing w:before="0" w:after="0"/>
        <w:ind w:left="0" w:right="0" w:hanging="0"/>
        <w:jc w:val="left"/>
        <w:rPr/>
      </w:pPr>
      <w:r>
        <w:rPr>
          <w:rStyle w:val="StrongEmphasis"/>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Low Latency:</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 Minimize the impact of locking on transaction processing time.</w:t>
      </w:r>
    </w:p>
    <w:p>
      <w:pPr>
        <w:pStyle w:val="TextBody"/>
        <w:widowControl/>
        <w:numPr>
          <w:ilvl w:val="0"/>
          <w:numId w:val="1"/>
        </w:numPr>
        <w:pBdr/>
        <w:tabs>
          <w:tab w:val="clear" w:pos="709"/>
          <w:tab w:val="left" w:pos="0" w:leader="none"/>
        </w:tabs>
        <w:bidi w:val="0"/>
        <w:spacing w:before="0" w:after="0"/>
        <w:ind w:left="0" w:right="0" w:hanging="0"/>
        <w:jc w:val="left"/>
        <w:rPr/>
      </w:pPr>
      <w:r>
        <w:rPr>
          <w:rStyle w:val="StrongEmphasis"/>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Reliability:</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 The service must be highly available and fault-tolerant to support critical financial operations.</w:t>
      </w:r>
    </w:p>
    <w:p>
      <w:pPr>
        <w:pStyle w:val="HorizontalLine"/>
        <w:bidi w:val="0"/>
        <w:jc w:val="left"/>
        <w:rPr/>
      </w:pPr>
      <w:r>
        <w:rPr/>
      </w:r>
    </w:p>
    <w:p>
      <w:pPr>
        <w:pStyle w:val="Heading3"/>
        <w:widowControl/>
        <w:bidi w:val="0"/>
        <w:spacing w:lineRule="atLeast" w:line="450" w:before="480" w:after="240"/>
        <w:ind w:left="0" w:right="0" w:hanging="0"/>
        <w:jc w:val="lef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0"/>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0"/>
        </w:rPr>
        <w:t>3. System Architecture</w:t>
      </w:r>
    </w:p>
    <w:p>
      <w:pPr>
        <w:pStyle w:val="Heading4"/>
        <w:widowControl/>
        <w:bidi w:val="0"/>
        <w:spacing w:lineRule="atLeast" w:line="420" w:before="240" w:after="240"/>
        <w:ind w:left="0" w:right="0" w:hanging="0"/>
        <w:jc w:val="lef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3.1 High-Level Component Diagram</w:t>
      </w:r>
    </w:p>
    <w:p>
      <w:pPr>
        <w:pStyle w:val="TextBody"/>
        <w:widowControl/>
        <w:bidi w:val="0"/>
        <w:spacing w:before="240" w:after="240"/>
        <w:ind w:left="0" w:right="0" w:hanging="0"/>
        <w:jc w:val="lef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This diagram illustrates the main components and their interactions.</w:t>
      </w:r>
    </w:p>
    <w:p>
      <w:pPr>
        <w:pStyle w:val="TextBody"/>
        <w:bidi w:val="0"/>
        <w:jc w:val="left"/>
        <w:rPr>
          <w:rStyle w:val="StrongEmphasis"/>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0"/>
        </w:rPr>
      </w:pPr>
      <w:r>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6120130" cy="5883275"/>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6120130" cy="5883275"/>
                    </a:xfrm>
                    <a:prstGeom prst="rect">
                      <a:avLst/>
                    </a:prstGeom>
                  </pic:spPr>
                </pic:pic>
              </a:graphicData>
            </a:graphic>
          </wp:anchor>
        </w:drawing>
      </w:r>
    </w:p>
    <w:p>
      <w:pPr>
        <w:pStyle w:val="TextBody"/>
        <w:bidi w:val="0"/>
        <w:jc w:val="left"/>
        <w:rPr>
          <w:rStyle w:val="StrongEmphasis"/>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0"/>
        </w:rPr>
      </w:pPr>
      <w:r>
        <w:rPr/>
      </w:r>
    </w:p>
    <w:p>
      <w:pPr>
        <w:pStyle w:val="TextBody"/>
        <w:bidi w:val="0"/>
        <w:jc w:val="left"/>
        <w:rPr>
          <w:rStyle w:val="StrongEmphasis"/>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0"/>
        </w:rPr>
      </w:pPr>
      <w:r>
        <w:rPr/>
      </w:r>
    </w:p>
    <w:p>
      <w:pPr>
        <w:pStyle w:val="TextBody"/>
        <w:bidi w:val="0"/>
        <w:jc w:val="left"/>
        <w:rPr>
          <w:rStyle w:val="StrongEmphasis"/>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0"/>
        </w:rPr>
      </w:pPr>
      <w:r>
        <w:rPr/>
      </w:r>
    </w:p>
    <w:p>
      <w:pPr>
        <w:pStyle w:val="TextBody"/>
        <w:bidi w:val="0"/>
        <w:jc w:val="left"/>
        <w:rPr>
          <w:rStyle w:val="StrongEmphasis"/>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0"/>
        </w:rPr>
      </w:pPr>
      <w:r>
        <w:rPr/>
      </w:r>
    </w:p>
    <w:p>
      <w:pPr>
        <w:pStyle w:val="TextBody"/>
        <w:bidi w:val="0"/>
        <w:jc w:val="left"/>
        <w:rPr>
          <w:rStyle w:val="StrongEmphasis"/>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0"/>
        </w:rPr>
      </w:pPr>
      <w:r>
        <w:rPr/>
      </w:r>
    </w:p>
    <w:p>
      <w:pPr>
        <w:pStyle w:val="TextBody"/>
        <w:bidi w:val="0"/>
        <w:jc w:val="left"/>
        <w:rPr/>
      </w:pPr>
      <w:r>
        <w:rPr>
          <w:rStyle w:val="StrongEmphasis"/>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Key Components:</w:t>
      </w:r>
    </w:p>
    <w:p>
      <w:pPr>
        <w:pStyle w:val="TextBody"/>
        <w:widowControl/>
        <w:numPr>
          <w:ilvl w:val="0"/>
          <w:numId w:val="2"/>
        </w:numPr>
        <w:pBdr/>
        <w:tabs>
          <w:tab w:val="clear" w:pos="709"/>
          <w:tab w:val="left" w:pos="0" w:leader="none"/>
        </w:tabs>
        <w:bidi w:val="0"/>
        <w:spacing w:before="0" w:after="0"/>
        <w:ind w:left="0" w:right="0" w:hanging="0"/>
        <w:jc w:val="left"/>
        <w:rPr/>
      </w:pPr>
      <w:r>
        <w:rPr>
          <w:rStyle w:val="StrongEmphasis"/>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DLV Service:</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 The primary consumer that initiates transaction processing requests.</w:t>
      </w:r>
    </w:p>
    <w:p>
      <w:pPr>
        <w:pStyle w:val="TextBody"/>
        <w:widowControl/>
        <w:numPr>
          <w:ilvl w:val="0"/>
          <w:numId w:val="2"/>
        </w:numPr>
        <w:pBdr/>
        <w:tabs>
          <w:tab w:val="clear" w:pos="709"/>
          <w:tab w:val="left" w:pos="0" w:leader="none"/>
        </w:tabs>
        <w:bidi w:val="0"/>
        <w:spacing w:before="0" w:after="120"/>
        <w:ind w:left="0" w:right="0" w:hanging="0"/>
        <w:jc w:val="left"/>
        <w:rPr/>
      </w:pPr>
      <w:r>
        <w:rPr>
          <w:rStyle w:val="StrongEmphasis"/>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Accounting Entry Service (AES):</w:t>
      </w:r>
    </w:p>
    <w:p>
      <w:pPr>
        <w:pStyle w:val="TextBody"/>
        <w:widowControl/>
        <w:numPr>
          <w:ilvl w:val="1"/>
          <w:numId w:val="2"/>
        </w:numPr>
        <w:pBdr/>
        <w:tabs>
          <w:tab w:val="clear" w:pos="709"/>
          <w:tab w:val="left" w:pos="0" w:leader="none"/>
        </w:tabs>
        <w:bidi w:val="0"/>
        <w:spacing w:before="0" w:after="0"/>
        <w:ind w:left="0" w:right="0" w:hanging="0"/>
        <w:jc w:val="lef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Deployed as multiple pods for scalability and high availability.</w:t>
      </w:r>
    </w:p>
    <w:p>
      <w:pPr>
        <w:pStyle w:val="TextBody"/>
        <w:widowControl/>
        <w:numPr>
          <w:ilvl w:val="1"/>
          <w:numId w:val="2"/>
        </w:numPr>
        <w:pBdr/>
        <w:tabs>
          <w:tab w:val="clear" w:pos="709"/>
          <w:tab w:val="left" w:pos="0" w:leader="none"/>
        </w:tabs>
        <w:bidi w:val="0"/>
        <w:spacing w:before="0" w:after="0"/>
        <w:ind w:left="0" w:right="0" w:hanging="0"/>
        <w:jc w:val="lef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Sits behind a load balancer, exposing a single endpoint to consumers.</w:t>
      </w:r>
    </w:p>
    <w:p>
      <w:pPr>
        <w:pStyle w:val="TextBody"/>
        <w:widowControl/>
        <w:numPr>
          <w:ilvl w:val="1"/>
          <w:numId w:val="2"/>
        </w:numPr>
        <w:pBdr/>
        <w:tabs>
          <w:tab w:val="clear" w:pos="709"/>
          <w:tab w:val="left" w:pos="0" w:leader="none"/>
        </w:tabs>
        <w:bidi w:val="0"/>
        <w:spacing w:before="0" w:after="0"/>
        <w:ind w:left="0" w:right="0" w:hanging="0"/>
        <w:jc w:val="lef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Each pod has its own URI for internal communication with the Payment Marshal Service.</w:t>
      </w:r>
    </w:p>
    <w:p>
      <w:pPr>
        <w:pStyle w:val="TextBody"/>
        <w:widowControl/>
        <w:numPr>
          <w:ilvl w:val="0"/>
          <w:numId w:val="2"/>
        </w:numPr>
        <w:pBdr/>
        <w:tabs>
          <w:tab w:val="clear" w:pos="709"/>
          <w:tab w:val="left" w:pos="0" w:leader="none"/>
        </w:tabs>
        <w:bidi w:val="0"/>
        <w:spacing w:before="0" w:after="120"/>
        <w:ind w:left="0" w:right="0" w:hanging="0"/>
        <w:jc w:val="left"/>
        <w:rPr/>
      </w:pPr>
      <w:r>
        <w:rPr>
          <w:rStyle w:val="StrongEmphasis"/>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Payment Marshal Service (PMS):</w:t>
      </w:r>
    </w:p>
    <w:p>
      <w:pPr>
        <w:pStyle w:val="TextBody"/>
        <w:widowControl/>
        <w:numPr>
          <w:ilvl w:val="1"/>
          <w:numId w:val="2"/>
        </w:numPr>
        <w:pBdr/>
        <w:tabs>
          <w:tab w:val="clear" w:pos="709"/>
          <w:tab w:val="left" w:pos="0" w:leader="none"/>
        </w:tabs>
        <w:bidi w:val="0"/>
        <w:spacing w:before="0" w:after="0"/>
        <w:ind w:left="0" w:right="0" w:hanging="0"/>
        <w:jc w:val="lef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A centralized, singleton-like instance responsible for all locking logic.</w:t>
      </w:r>
    </w:p>
    <w:p>
      <w:pPr>
        <w:pStyle w:val="TextBody"/>
        <w:widowControl/>
        <w:numPr>
          <w:ilvl w:val="1"/>
          <w:numId w:val="2"/>
        </w:numPr>
        <w:pBdr/>
        <w:tabs>
          <w:tab w:val="clear" w:pos="709"/>
          <w:tab w:val="left" w:pos="0" w:leader="none"/>
        </w:tabs>
        <w:bidi w:val="0"/>
        <w:spacing w:before="0" w:after="0"/>
        <w:ind w:left="0" w:right="0" w:hanging="0"/>
        <w:jc w:val="lef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Has its own dedicated URI.</w:t>
      </w:r>
    </w:p>
    <w:p>
      <w:pPr>
        <w:pStyle w:val="TextBody"/>
        <w:widowControl/>
        <w:numPr>
          <w:ilvl w:val="1"/>
          <w:numId w:val="2"/>
        </w:numPr>
        <w:pBdr/>
        <w:tabs>
          <w:tab w:val="clear" w:pos="709"/>
          <w:tab w:val="left" w:pos="0" w:leader="none"/>
        </w:tabs>
        <w:bidi w:val="0"/>
        <w:spacing w:before="0" w:after="0"/>
        <w:ind w:left="0" w:right="0" w:hanging="0"/>
        <w:jc w:val="lef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Manages the acquisition and release of account locks.</w:t>
      </w:r>
    </w:p>
    <w:p>
      <w:pPr>
        <w:pStyle w:val="TextBody"/>
        <w:widowControl/>
        <w:numPr>
          <w:ilvl w:val="0"/>
          <w:numId w:val="2"/>
        </w:numPr>
        <w:pBdr/>
        <w:tabs>
          <w:tab w:val="clear" w:pos="709"/>
          <w:tab w:val="left" w:pos="0" w:leader="none"/>
        </w:tabs>
        <w:bidi w:val="0"/>
        <w:spacing w:before="0" w:after="0"/>
        <w:ind w:left="0" w:right="0" w:hanging="0"/>
        <w:jc w:val="left"/>
        <w:rPr/>
      </w:pPr>
      <w:r>
        <w:rPr>
          <w:rStyle w:val="StrongEmphasis"/>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Account Database:</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 The persistent storage for account information and balances.</w:t>
      </w:r>
    </w:p>
    <w:p>
      <w:pPr>
        <w:pStyle w:val="TextBody"/>
        <w:bidi w:val="0"/>
        <w:jc w:val="left"/>
        <w:rPr>
          <w:rStyle w:val="StrongEmphasis"/>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0"/>
        </w:rPr>
      </w:pPr>
      <w:r>
        <w:rPr/>
      </w:r>
    </w:p>
    <w:p>
      <w:pPr>
        <w:pStyle w:val="TextBody"/>
        <w:bidi w:val="0"/>
        <w:jc w:val="left"/>
        <w:rPr>
          <w:rStyle w:val="StrongEmphasis"/>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0"/>
        </w:rPr>
      </w:pPr>
      <w:r>
        <w:rPr/>
      </w:r>
    </w:p>
    <w:p>
      <w:pPr>
        <w:pStyle w:val="Heading3"/>
        <w:bidi w:val="0"/>
        <w:jc w:val="left"/>
        <w:rPr/>
      </w:pPr>
      <w:r>
        <w:rPr>
          <w:rStyle w:val="StrongEmphasis"/>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0"/>
        </w:rPr>
        <w:t>4. Detailed Design &amp; Logic</w:t>
      </w:r>
    </w:p>
    <w:p>
      <w:pPr>
        <w:pStyle w:val="Heading4"/>
        <w:widowControl/>
        <w:bidi w:val="0"/>
        <w:spacing w:lineRule="atLeast" w:line="420" w:before="240" w:after="240"/>
        <w:ind w:left="0" w:right="0" w:hanging="0"/>
        <w:jc w:val="lef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4.1 Core Locking Strategy</w:t>
      </w:r>
    </w:p>
    <w:p>
      <w:pPr>
        <w:pStyle w:val="TextBody"/>
        <w:widowControl/>
        <w:bidi w:val="0"/>
        <w:spacing w:before="240" w:after="240"/>
        <w:ind w:left="0" w:right="0" w:hanging="0"/>
        <w:jc w:val="left"/>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The cornerstone of the design is the strategy to </w:t>
      </w:r>
      <w:r>
        <w:rPr>
          <w:rStyle w:val="StrongEmphasis"/>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lock both the debit and credit account</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 for every transaction.</w:t>
      </w:r>
    </w:p>
    <w:p>
      <w:pPr>
        <w:pStyle w:val="TextBody"/>
        <w:widowControl/>
        <w:bidi w:val="0"/>
        <w:spacing w:before="240" w:after="240"/>
        <w:ind w:left="0" w:right="0" w:hanging="0"/>
        <w:jc w:val="left"/>
        <w:rPr/>
      </w:pPr>
      <w:r>
        <w:rPr>
          <w:rStyle w:val="StrongEmphasis"/>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Rationale:</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br/>
        <w:t>To prevent race conditions and ensure balance consistency, any account involved in a transaction must be locked against concurrent modification. Since an account can play the role of a debit account in one transaction and a credit account in another simultaneously, locking both is necessary.</w:t>
      </w:r>
    </w:p>
    <w:p>
      <w:pPr>
        <w:pStyle w:val="TextBody"/>
        <w:bidi w:val="0"/>
        <w:jc w:val="left"/>
        <w:rPr>
          <w:rStyle w:val="StrongEmphasis"/>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0"/>
        </w:rPr>
      </w:pPr>
      <w:r>
        <w:rPr/>
      </w:r>
    </w:p>
    <w:p>
      <w:pPr>
        <w:pStyle w:val="TextBody"/>
        <w:bidi w:val="0"/>
        <w:jc w:val="left"/>
        <w:rPr>
          <w:rStyle w:val="StrongEmphasis"/>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0"/>
        </w:rPr>
      </w:pPr>
      <w:r>
        <w:rPr/>
      </w:r>
    </w:p>
    <w:p>
      <w:pPr>
        <w:pStyle w:val="TextBody"/>
        <w:bidi w:val="0"/>
        <w:jc w:val="left"/>
        <w:rPr/>
      </w:pPr>
      <w:r>
        <w:rPr>
          <w:rStyle w:val="StrongEmphasis"/>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Concurrency Scenario Example:</w:t>
      </w:r>
    </w:p>
    <w:p>
      <w:pPr>
        <w:pStyle w:val="TextBody"/>
        <w:bidi w:val="0"/>
        <w:ind w:left="0" w:right="0" w:hanging="0"/>
        <w:jc w:val="left"/>
        <w:rPr/>
      </w:pPr>
      <w:r>
        <w:rPr/>
        <w:br/>
      </w:r>
    </w:p>
    <w:tbl>
      <w:tblPr>
        <w:tblW w:w="9638" w:type="dxa"/>
        <w:jc w:val="left"/>
        <w:tblInd w:w="0" w:type="dxa"/>
        <w:tblLayout w:type="fixed"/>
        <w:tblCellMar>
          <w:top w:w="0" w:type="dxa"/>
          <w:left w:w="0" w:type="dxa"/>
          <w:bottom w:w="150" w:type="dxa"/>
          <w:right w:w="0" w:type="dxa"/>
        </w:tblCellMar>
      </w:tblPr>
      <w:tblGrid>
        <w:gridCol w:w="738"/>
        <w:gridCol w:w="2914"/>
        <w:gridCol w:w="2846"/>
        <w:gridCol w:w="3140"/>
      </w:tblGrid>
      <w:tr>
        <w:trPr>
          <w:tblHeader w:val="true"/>
        </w:trPr>
        <w:tc>
          <w:tcPr>
            <w:tcW w:w="738" w:type="dxa"/>
            <w:tcBorders>
              <w:bottom w:val="single" w:sz="2" w:space="0" w:color="000000"/>
            </w:tcBorders>
            <w:vAlign w:val="center"/>
          </w:tcPr>
          <w:p>
            <w:pPr>
              <w:pStyle w:val="TableHeading"/>
              <w:bidi w:val="0"/>
              <w:spacing w:lineRule="atLeast" w:line="375"/>
              <w:jc w:val="lef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Time</w:t>
            </w:r>
          </w:p>
        </w:tc>
        <w:tc>
          <w:tcPr>
            <w:tcW w:w="2914" w:type="dxa"/>
            <w:tcBorders>
              <w:bottom w:val="single" w:sz="2" w:space="0" w:color="000000"/>
            </w:tcBorders>
            <w:vAlign w:val="center"/>
          </w:tcPr>
          <w:p>
            <w:pPr>
              <w:pStyle w:val="TableHeading"/>
              <w:bidi w:val="0"/>
              <w:spacing w:lineRule="atLeast" w:line="375"/>
              <w:jc w:val="lef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Transaction T1 (Thread 1)</w:t>
            </w:r>
          </w:p>
        </w:tc>
        <w:tc>
          <w:tcPr>
            <w:tcW w:w="2846" w:type="dxa"/>
            <w:tcBorders>
              <w:bottom w:val="single" w:sz="2" w:space="0" w:color="000000"/>
            </w:tcBorders>
            <w:vAlign w:val="center"/>
          </w:tcPr>
          <w:p>
            <w:pPr>
              <w:pStyle w:val="TableHeading"/>
              <w:bidi w:val="0"/>
              <w:spacing w:lineRule="atLeast" w:line="375"/>
              <w:jc w:val="lef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Transaction T2 (Thread 2)</w:t>
            </w:r>
          </w:p>
        </w:tc>
        <w:tc>
          <w:tcPr>
            <w:tcW w:w="3140" w:type="dxa"/>
            <w:tcBorders>
              <w:bottom w:val="single" w:sz="2" w:space="0" w:color="000000"/>
            </w:tcBorders>
            <w:vAlign w:val="center"/>
          </w:tcPr>
          <w:p>
            <w:pPr>
              <w:pStyle w:val="TableHeading"/>
              <w:bidi w:val="0"/>
              <w:spacing w:lineRule="atLeast" w:line="375"/>
              <w:jc w:val="lef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Balance of Account A without Proper Locking</w:t>
            </w:r>
          </w:p>
        </w:tc>
      </w:tr>
      <w:tr>
        <w:trPr/>
        <w:tc>
          <w:tcPr>
            <w:tcW w:w="738" w:type="dxa"/>
            <w:tcBorders>
              <w:bottom w:val="single" w:sz="2" w:space="0" w:color="000000"/>
            </w:tcBorders>
            <w:vAlign w:val="center"/>
          </w:tcPr>
          <w:p>
            <w:pPr>
              <w:pStyle w:val="TableContents"/>
              <w:bidi w:val="0"/>
              <w:spacing w:lineRule="atLeast" w:line="375"/>
              <w:jc w:val="lef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t1</w:t>
            </w:r>
          </w:p>
        </w:tc>
        <w:tc>
          <w:tcPr>
            <w:tcW w:w="2914" w:type="dxa"/>
            <w:tcBorders>
              <w:bottom w:val="single" w:sz="2" w:space="0" w:color="000000"/>
            </w:tcBorders>
            <w:vAlign w:val="center"/>
          </w:tcPr>
          <w:p>
            <w:pPr>
              <w:pStyle w:val="TableContents"/>
              <w:bidi w:val="0"/>
              <w:spacing w:lineRule="atLeast" w:line="375"/>
              <w:jc w:val="lef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Reads Balance of A (=$100) to credit +$50</w:t>
            </w:r>
          </w:p>
        </w:tc>
        <w:tc>
          <w:tcPr>
            <w:tcW w:w="2846" w:type="dxa"/>
            <w:tcBorders>
              <w:bottom w:val="single" w:sz="2" w:space="0" w:color="000000"/>
            </w:tcBorders>
            <w:vAlign w:val="center"/>
          </w:tcPr>
          <w:p>
            <w:pPr>
              <w:pStyle w:val="TableContents"/>
              <w:bidi w:val="0"/>
              <w:jc w:val="left"/>
              <w:rPr>
                <w:sz w:val="4"/>
                <w:szCs w:val="4"/>
              </w:rPr>
            </w:pPr>
            <w:r>
              <w:rPr>
                <w:sz w:val="4"/>
                <w:szCs w:val="4"/>
              </w:rPr>
            </w:r>
          </w:p>
        </w:tc>
        <w:tc>
          <w:tcPr>
            <w:tcW w:w="3140" w:type="dxa"/>
            <w:tcBorders>
              <w:bottom w:val="single" w:sz="2" w:space="0" w:color="000000"/>
            </w:tcBorders>
            <w:vAlign w:val="center"/>
          </w:tcPr>
          <w:p>
            <w:pPr>
              <w:pStyle w:val="TableContents"/>
              <w:bidi w:val="0"/>
              <w:spacing w:lineRule="atLeast" w:line="375"/>
              <w:jc w:val="lef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$100</w:t>
            </w:r>
          </w:p>
        </w:tc>
      </w:tr>
      <w:tr>
        <w:trPr/>
        <w:tc>
          <w:tcPr>
            <w:tcW w:w="738" w:type="dxa"/>
            <w:tcBorders>
              <w:bottom w:val="single" w:sz="2" w:space="0" w:color="000000"/>
            </w:tcBorders>
            <w:vAlign w:val="center"/>
          </w:tcPr>
          <w:p>
            <w:pPr>
              <w:pStyle w:val="TableContents"/>
              <w:bidi w:val="0"/>
              <w:spacing w:lineRule="atLeast" w:line="375"/>
              <w:jc w:val="lef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t2</w:t>
            </w:r>
          </w:p>
        </w:tc>
        <w:tc>
          <w:tcPr>
            <w:tcW w:w="2914" w:type="dxa"/>
            <w:tcBorders>
              <w:bottom w:val="single" w:sz="2" w:space="0" w:color="000000"/>
            </w:tcBorders>
            <w:vAlign w:val="center"/>
          </w:tcPr>
          <w:p>
            <w:pPr>
              <w:pStyle w:val="TableContents"/>
              <w:bidi w:val="0"/>
              <w:jc w:val="left"/>
              <w:rPr>
                <w:sz w:val="4"/>
                <w:szCs w:val="4"/>
              </w:rPr>
            </w:pPr>
            <w:r>
              <w:rPr>
                <w:sz w:val="4"/>
                <w:szCs w:val="4"/>
              </w:rPr>
            </w:r>
          </w:p>
        </w:tc>
        <w:tc>
          <w:tcPr>
            <w:tcW w:w="2846" w:type="dxa"/>
            <w:tcBorders>
              <w:bottom w:val="single" w:sz="2" w:space="0" w:color="000000"/>
            </w:tcBorders>
            <w:vAlign w:val="center"/>
          </w:tcPr>
          <w:p>
            <w:pPr>
              <w:pStyle w:val="TableContents"/>
              <w:bidi w:val="0"/>
              <w:spacing w:lineRule="atLeast" w:line="375"/>
              <w:jc w:val="lef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Reads Balance of A (=$100) to debit -$20</w:t>
            </w:r>
          </w:p>
        </w:tc>
        <w:tc>
          <w:tcPr>
            <w:tcW w:w="3140" w:type="dxa"/>
            <w:tcBorders>
              <w:bottom w:val="single" w:sz="2" w:space="0" w:color="000000"/>
            </w:tcBorders>
            <w:vAlign w:val="center"/>
          </w:tcPr>
          <w:p>
            <w:pPr>
              <w:pStyle w:val="TableContents"/>
              <w:bidi w:val="0"/>
              <w:spacing w:lineRule="atLeast" w:line="375"/>
              <w:jc w:val="lef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$100</w:t>
            </w:r>
          </w:p>
        </w:tc>
      </w:tr>
      <w:tr>
        <w:trPr/>
        <w:tc>
          <w:tcPr>
            <w:tcW w:w="738" w:type="dxa"/>
            <w:tcBorders>
              <w:bottom w:val="single" w:sz="2" w:space="0" w:color="000000"/>
            </w:tcBorders>
            <w:vAlign w:val="center"/>
          </w:tcPr>
          <w:p>
            <w:pPr>
              <w:pStyle w:val="TableContents"/>
              <w:bidi w:val="0"/>
              <w:spacing w:lineRule="atLeast" w:line="375"/>
              <w:jc w:val="lef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t3</w:t>
            </w:r>
          </w:p>
        </w:tc>
        <w:tc>
          <w:tcPr>
            <w:tcW w:w="2914" w:type="dxa"/>
            <w:tcBorders>
              <w:bottom w:val="single" w:sz="2" w:space="0" w:color="000000"/>
            </w:tcBorders>
            <w:vAlign w:val="center"/>
          </w:tcPr>
          <w:p>
            <w:pPr>
              <w:pStyle w:val="TableContents"/>
              <w:bidi w:val="0"/>
              <w:spacing w:lineRule="atLeast" w:line="375"/>
              <w:jc w:val="lef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Calculates New Balance: $150</w:t>
            </w:r>
          </w:p>
        </w:tc>
        <w:tc>
          <w:tcPr>
            <w:tcW w:w="2846" w:type="dxa"/>
            <w:tcBorders>
              <w:bottom w:val="single" w:sz="2" w:space="0" w:color="000000"/>
            </w:tcBorders>
            <w:vAlign w:val="center"/>
          </w:tcPr>
          <w:p>
            <w:pPr>
              <w:pStyle w:val="TableContents"/>
              <w:bidi w:val="0"/>
              <w:spacing w:lineRule="atLeast" w:line="375"/>
              <w:jc w:val="lef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Calculates New Balance: $80</w:t>
            </w:r>
          </w:p>
        </w:tc>
        <w:tc>
          <w:tcPr>
            <w:tcW w:w="3140" w:type="dxa"/>
            <w:tcBorders>
              <w:bottom w:val="single" w:sz="2" w:space="0" w:color="000000"/>
            </w:tcBorders>
            <w:vAlign w:val="center"/>
          </w:tcPr>
          <w:p>
            <w:pPr>
              <w:pStyle w:val="TableContents"/>
              <w:bidi w:val="0"/>
              <w:spacing w:lineRule="atLeast" w:line="375"/>
              <w:jc w:val="lef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$100</w:t>
            </w:r>
          </w:p>
        </w:tc>
      </w:tr>
      <w:tr>
        <w:trPr/>
        <w:tc>
          <w:tcPr>
            <w:tcW w:w="738" w:type="dxa"/>
            <w:tcBorders>
              <w:bottom w:val="single" w:sz="2" w:space="0" w:color="000000"/>
            </w:tcBorders>
            <w:vAlign w:val="center"/>
          </w:tcPr>
          <w:p>
            <w:pPr>
              <w:pStyle w:val="TableContents"/>
              <w:bidi w:val="0"/>
              <w:spacing w:lineRule="atLeast" w:line="375"/>
              <w:jc w:val="lef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t4</w:t>
            </w:r>
          </w:p>
        </w:tc>
        <w:tc>
          <w:tcPr>
            <w:tcW w:w="2914" w:type="dxa"/>
            <w:tcBorders>
              <w:bottom w:val="single" w:sz="2" w:space="0" w:color="000000"/>
            </w:tcBorders>
            <w:vAlign w:val="center"/>
          </w:tcPr>
          <w:p>
            <w:pPr>
              <w:pStyle w:val="TableContents"/>
              <w:bidi w:val="0"/>
              <w:spacing w:lineRule="atLeast" w:line="375"/>
              <w:jc w:val="lef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Writes $150 to A</w:t>
            </w:r>
          </w:p>
        </w:tc>
        <w:tc>
          <w:tcPr>
            <w:tcW w:w="2846" w:type="dxa"/>
            <w:tcBorders>
              <w:bottom w:val="single" w:sz="2" w:space="0" w:color="000000"/>
            </w:tcBorders>
            <w:vAlign w:val="center"/>
          </w:tcPr>
          <w:p>
            <w:pPr>
              <w:pStyle w:val="TableContents"/>
              <w:bidi w:val="0"/>
              <w:spacing w:lineRule="atLeast" w:line="375"/>
              <w:jc w:val="lef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Writes $80 to A</w:t>
            </w:r>
          </w:p>
        </w:tc>
        <w:tc>
          <w:tcPr>
            <w:tcW w:w="3140" w:type="dxa"/>
            <w:tcBorders>
              <w:bottom w:val="single" w:sz="2" w:space="0" w:color="000000"/>
            </w:tcBorders>
            <w:vAlign w:val="center"/>
          </w:tcPr>
          <w:p>
            <w:pPr>
              <w:pStyle w:val="TableContents"/>
              <w:bidi w:val="0"/>
              <w:spacing w:lineRule="atLeast" w:line="375"/>
              <w:jc w:val="left"/>
              <w:rPr/>
            </w:pPr>
            <w:r>
              <w:rPr>
                <w:rStyle w:val="StrongEmphasis"/>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$80 (Incorrect!)</w:t>
            </w:r>
          </w:p>
        </w:tc>
      </w:tr>
    </w:tbl>
    <w:p>
      <w:pPr>
        <w:pStyle w:val="TextBody"/>
        <w:bidi w:val="0"/>
        <w:ind w:left="0" w:right="0" w:hanging="0"/>
        <w:jc w:val="left"/>
        <w:rPr>
          <w:rStyle w:val="StrongEmphasis"/>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0"/>
        </w:rPr>
      </w:pPr>
      <w:r>
        <w:rPr/>
      </w:r>
    </w:p>
    <w:p>
      <w:pPr>
        <w:pStyle w:val="TextBody"/>
        <w:bidi w:val="0"/>
        <w:ind w:left="0" w:right="0" w:hanging="0"/>
        <w:jc w:val="left"/>
        <w:rPr>
          <w:rStyle w:val="StrongEmphasis"/>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0"/>
        </w:rPr>
      </w:pPr>
      <w:r>
        <w:rPr/>
      </w:r>
    </w:p>
    <w:p>
      <w:pPr>
        <w:pStyle w:val="TextBody"/>
        <w:bidi w:val="0"/>
        <w:ind w:left="0" w:right="0" w:hanging="0"/>
        <w:jc w:val="left"/>
        <w:rPr/>
      </w:pPr>
      <w:r>
        <w:rPr>
          <w:rStyle w:val="StrongEmphasis"/>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With the PMS locking both accounts, T1 and T2 would be serialized, preventing this interleaving and ensuring the final balance is correct ($130).</w:t>
      </w:r>
    </w:p>
    <w:p>
      <w:pPr>
        <w:pStyle w:val="TextBody"/>
        <w:bidi w:val="0"/>
        <w:spacing w:lineRule="auto" w:line="276" w:before="0" w:after="140"/>
        <w:jc w:val="left"/>
        <w:rPr/>
      </w:pPr>
      <w:r>
        <w:rPr/>
      </w:r>
    </w:p>
    <w:p>
      <w:pPr>
        <w:pStyle w:val="TextBody"/>
        <w:bidi w:val="0"/>
        <w:spacing w:lineRule="auto" w:line="276" w:before="0" w:after="140"/>
        <w:jc w:val="left"/>
        <w:rPr/>
      </w:pPr>
      <w:r>
        <w:rPr/>
      </w:r>
    </w:p>
    <w:p>
      <w:pPr>
        <w:pStyle w:val="TextBody"/>
        <w:bidi w:val="0"/>
        <w:spacing w:lineRule="auto" w:line="276" w:before="0" w:after="140"/>
        <w:jc w:val="left"/>
        <w:rPr/>
      </w:pPr>
      <w:r>
        <w:rPr/>
      </w:r>
    </w:p>
    <w:p>
      <w:pPr>
        <w:pStyle w:val="TextBody"/>
        <w:bidi w:val="0"/>
        <w:spacing w:lineRule="auto" w:line="276" w:before="0" w:after="140"/>
        <w:jc w:val="left"/>
        <w:rPr/>
      </w:pPr>
      <w:r>
        <w:rPr/>
      </w:r>
    </w:p>
    <w:p>
      <w:pPr>
        <w:pStyle w:val="TextBody"/>
        <w:bidi w:val="0"/>
        <w:spacing w:lineRule="auto" w:line="276" w:before="0" w:after="140"/>
        <w:jc w:val="left"/>
        <w:rPr/>
      </w:pPr>
      <w:r>
        <w:rPr/>
      </w:r>
    </w:p>
    <w:p>
      <w:pPr>
        <w:pStyle w:val="TextBody"/>
        <w:bidi w:val="0"/>
        <w:spacing w:lineRule="auto" w:line="276" w:before="0" w:after="140"/>
        <w:jc w:val="left"/>
        <w:rPr/>
      </w:pPr>
      <w:r>
        <w:rPr/>
      </w:r>
    </w:p>
    <w:p>
      <w:pPr>
        <w:pStyle w:val="TextBody"/>
        <w:bidi w:val="0"/>
        <w:spacing w:lineRule="auto" w:line="276" w:before="0" w:after="140"/>
        <w:jc w:val="left"/>
        <w:rPr/>
      </w:pPr>
      <w:r>
        <w:rPr/>
      </w:r>
    </w:p>
    <w:p>
      <w:pPr>
        <w:pStyle w:val="TextBody"/>
        <w:bidi w:val="0"/>
        <w:spacing w:lineRule="auto" w:line="276" w:before="0" w:after="140"/>
        <w:jc w:val="left"/>
        <w:rPr/>
      </w:pPr>
      <w:r>
        <w:rPr/>
      </w:r>
    </w:p>
    <w:p>
      <w:pPr>
        <w:pStyle w:val="TextBody"/>
        <w:bidi w:val="0"/>
        <w:spacing w:lineRule="auto" w:line="276" w:before="0" w:after="140"/>
        <w:jc w:val="left"/>
        <w:rPr/>
      </w:pPr>
      <w:r>
        <w:rPr/>
      </w:r>
    </w:p>
    <w:p>
      <w:pPr>
        <w:pStyle w:val="TextBody"/>
        <w:bidi w:val="0"/>
        <w:spacing w:lineRule="auto" w:line="276" w:before="0" w:after="140"/>
        <w:jc w:val="left"/>
        <w:rPr/>
      </w:pPr>
      <w:r>
        <w:rPr/>
      </w:r>
    </w:p>
    <w:p>
      <w:pPr>
        <w:pStyle w:val="TextBody"/>
        <w:bidi w:val="0"/>
        <w:spacing w:lineRule="auto" w:line="276" w:before="0" w:after="140"/>
        <w:jc w:val="left"/>
        <w:rPr/>
      </w:pPr>
      <w:r>
        <w:rPr/>
      </w:r>
    </w:p>
    <w:p>
      <w:pPr>
        <w:pStyle w:val="TextBody"/>
        <w:bidi w:val="0"/>
        <w:spacing w:lineRule="auto" w:line="276" w:before="0" w:after="140"/>
        <w:jc w:val="left"/>
        <w:rPr/>
      </w:pPr>
      <w:r>
        <w:rPr/>
      </w:r>
    </w:p>
    <w:p>
      <w:pPr>
        <w:pStyle w:val="TextBody"/>
        <w:bidi w:val="0"/>
        <w:spacing w:lineRule="auto" w:line="276" w:before="0" w:after="140"/>
        <w:jc w:val="left"/>
        <w:rPr/>
      </w:pPr>
      <w:r>
        <w:rPr/>
      </w:r>
    </w:p>
    <w:p>
      <w:pPr>
        <w:pStyle w:val="TextBody"/>
        <w:bidi w:val="0"/>
        <w:spacing w:lineRule="auto" w:line="276" w:before="0" w:after="140"/>
        <w:jc w:val="left"/>
        <w:rPr/>
      </w:pPr>
      <w:r>
        <w:rPr/>
      </w:r>
    </w:p>
    <w:p>
      <w:pPr>
        <w:pStyle w:val="TextBody"/>
        <w:bidi w:val="0"/>
        <w:spacing w:lineRule="auto" w:line="276" w:before="0" w:after="140"/>
        <w:jc w:val="left"/>
        <w:rPr/>
      </w:pPr>
      <w:r>
        <w:rPr/>
      </w:r>
    </w:p>
    <w:p>
      <w:pPr>
        <w:pStyle w:val="TextBody"/>
        <w:bidi w:val="0"/>
        <w:spacing w:lineRule="auto" w:line="276" w:before="0" w:after="140"/>
        <w:jc w:val="left"/>
        <w:rPr/>
      </w:pPr>
      <w:r>
        <w:rPr/>
      </w:r>
    </w:p>
    <w:p>
      <w:pPr>
        <w:pStyle w:val="TextBody"/>
        <w:bidi w:val="0"/>
        <w:spacing w:lineRule="auto" w:line="276" w:before="0" w:after="140"/>
        <w:jc w:val="left"/>
        <w:rPr/>
      </w:pPr>
      <w:r>
        <w:rPr/>
      </w:r>
    </w:p>
    <w:p>
      <w:pPr>
        <w:pStyle w:val="TextBody"/>
        <w:bidi w:val="0"/>
        <w:spacing w:lineRule="auto" w:line="276" w:before="0" w:after="140"/>
        <w:jc w:val="left"/>
        <w:rPr/>
      </w:pPr>
      <w:r>
        <w:rPr/>
      </w:r>
    </w:p>
    <w:p>
      <w:pPr>
        <w:pStyle w:val="TextBody"/>
        <w:bidi w:val="0"/>
        <w:spacing w:lineRule="auto" w:line="276" w:before="0" w:after="140"/>
        <w:jc w:val="left"/>
        <w:rPr/>
      </w:pPr>
      <w:r>
        <w:rPr/>
      </w:r>
    </w:p>
    <w:p>
      <w:pPr>
        <w:pStyle w:val="TextBody"/>
        <w:bidi w:val="0"/>
        <w:spacing w:lineRule="auto" w:line="276" w:before="0" w:after="140"/>
        <w:jc w:val="left"/>
        <w:rPr/>
      </w:pPr>
      <w:r>
        <w:rPr/>
        <w:br/>
      </w:r>
      <w:r>
        <w:rPr>
          <w:rStyle w:val="StrongEmphasis"/>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4.2 Transaction Processing Sequence Diagram</w:t>
      </w:r>
    </w:p>
    <w:p>
      <w:pPr>
        <w:pStyle w:val="TextBody"/>
        <w:widowControl/>
        <w:bidi w:val="0"/>
        <w:spacing w:before="240" w:after="240"/>
        <w:ind w:left="0" w:right="0" w:hanging="0"/>
        <w:jc w:val="lef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This sequence diagram details the end-to-end flow for a </w:t>
      </w:r>
      <w:r>
        <w:rPr>
          <w:rStyle w:val="StrongEmphasis"/>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Single Debit-Single Credit (SDSC)</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 transaction, highlighting the critical role of the Payment Marshal Service in acquiring and releasing locks.</w:t>
      </w:r>
    </w:p>
    <w:p>
      <w:pPr>
        <w:pStyle w:val="TextBody"/>
        <w:widowControl/>
        <w:bidi w:val="0"/>
        <w:spacing w:before="240" w:after="240"/>
        <w:ind w:left="0" w:right="0" w:hanging="0"/>
        <w:jc w:val="lef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r>
    </w:p>
    <w:p>
      <w:pPr>
        <w:pStyle w:val="TextBody"/>
        <w:widowControl/>
        <w:bidi w:val="0"/>
        <w:spacing w:before="240" w:after="240"/>
        <w:ind w:left="0" w:right="0" w:hanging="0"/>
        <w:jc w:val="lef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6120130" cy="5518785"/>
            <wp:effectExtent l="0" t="0" r="0" b="0"/>
            <wp:wrapSquare wrapText="largest"/>
            <wp:docPr id="2"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3" descr=""/>
                    <pic:cNvPicPr>
                      <a:picLocks noChangeAspect="1" noChangeArrowheads="1"/>
                    </pic:cNvPicPr>
                  </pic:nvPicPr>
                  <pic:blipFill>
                    <a:blip r:embed="rId3"/>
                    <a:stretch>
                      <a:fillRect/>
                    </a:stretch>
                  </pic:blipFill>
                  <pic:spPr bwMode="auto">
                    <a:xfrm>
                      <a:off x="0" y="0"/>
                      <a:ext cx="6120130" cy="5518785"/>
                    </a:xfrm>
                    <a:prstGeom prst="rect">
                      <a:avLst/>
                    </a:prstGeom>
                  </pic:spPr>
                </pic:pic>
              </a:graphicData>
            </a:graphic>
          </wp:anchor>
        </w:drawing>
      </w:r>
    </w:p>
    <w:p>
      <w:pPr>
        <w:pStyle w:val="TextBody"/>
        <w:bidi w:val="0"/>
        <w:spacing w:lineRule="auto" w:line="276" w:before="0" w:after="140"/>
        <w:jc w:val="left"/>
        <w:rPr>
          <w:rStyle w:val="StrongEmphasis"/>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0"/>
        </w:rPr>
      </w:pPr>
      <w:r>
        <w:rPr/>
      </w:r>
    </w:p>
    <w:p>
      <w:pPr>
        <w:pStyle w:val="TextBody"/>
        <w:bidi w:val="0"/>
        <w:jc w:val="left"/>
        <w:rPr>
          <w:rStyle w:val="StrongEmphasis"/>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0"/>
        </w:rPr>
      </w:pPr>
      <w:r>
        <w:rPr/>
      </w:r>
    </w:p>
    <w:p>
      <w:pPr>
        <w:pStyle w:val="TextBody"/>
        <w:bidi w:val="0"/>
        <w:jc w:val="left"/>
        <w:rPr>
          <w:rStyle w:val="StrongEmphasis"/>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0"/>
        </w:rPr>
      </w:pPr>
      <w:r>
        <w:rPr/>
      </w:r>
    </w:p>
    <w:p>
      <w:pPr>
        <w:pStyle w:val="TextBody"/>
        <w:bidi w:val="0"/>
        <w:jc w:val="left"/>
        <w:rPr>
          <w:rStyle w:val="StrongEmphasis"/>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0"/>
        </w:rPr>
      </w:pPr>
      <w:r>
        <w:rPr/>
      </w:r>
    </w:p>
    <w:p>
      <w:pPr>
        <w:pStyle w:val="TextBody"/>
        <w:bidi w:val="0"/>
        <w:jc w:val="left"/>
        <w:rPr>
          <w:rStyle w:val="StrongEmphasis"/>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0"/>
        </w:rPr>
      </w:pPr>
      <w:r>
        <w:rPr/>
      </w:r>
    </w:p>
    <w:p>
      <w:pPr>
        <w:pStyle w:val="TextBody"/>
        <w:bidi w:val="0"/>
        <w:jc w:val="left"/>
        <w:rPr/>
      </w:pPr>
      <w:r>
        <w:rPr>
          <w:rStyle w:val="StrongEmphasis"/>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Steps Explained:</w:t>
      </w:r>
    </w:p>
    <w:p>
      <w:pPr>
        <w:pStyle w:val="TextBody"/>
        <w:widowControl/>
        <w:numPr>
          <w:ilvl w:val="0"/>
          <w:numId w:val="3"/>
        </w:numPr>
        <w:pBdr/>
        <w:tabs>
          <w:tab w:val="clear" w:pos="709"/>
          <w:tab w:val="left" w:pos="0" w:leader="none"/>
        </w:tabs>
        <w:bidi w:val="0"/>
        <w:spacing w:before="0" w:after="0"/>
        <w:ind w:left="0" w:right="0" w:hanging="0"/>
        <w:jc w:val="left"/>
        <w:rPr/>
      </w:pPr>
      <w:r>
        <w:rPr>
          <w:rStyle w:val="StrongEmphasis"/>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Request Initiation:</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 DLV sends a transaction request to the Accounting Entry Service's load-balanced endpoint.</w:t>
      </w:r>
    </w:p>
    <w:p>
      <w:pPr>
        <w:pStyle w:val="TextBody"/>
        <w:widowControl/>
        <w:numPr>
          <w:ilvl w:val="0"/>
          <w:numId w:val="3"/>
        </w:numPr>
        <w:pBdr/>
        <w:tabs>
          <w:tab w:val="clear" w:pos="709"/>
          <w:tab w:val="left" w:pos="0" w:leader="none"/>
        </w:tabs>
        <w:bidi w:val="0"/>
        <w:spacing w:before="0" w:after="0"/>
        <w:ind w:left="0" w:right="0" w:hanging="0"/>
        <w:jc w:val="left"/>
        <w:rPr/>
      </w:pPr>
      <w:r>
        <w:rPr>
          <w:rStyle w:val="StrongEmphasis"/>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Lock Acquisition:</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 The AES pod calls the Payment Marshal Service to lock both the debit and credit accounts. The PMS acquires exclusive locks on these accounts in the database.</w:t>
      </w:r>
    </w:p>
    <w:p>
      <w:pPr>
        <w:pStyle w:val="TextBody"/>
        <w:widowControl/>
        <w:numPr>
          <w:ilvl w:val="0"/>
          <w:numId w:val="3"/>
        </w:numPr>
        <w:pBdr/>
        <w:tabs>
          <w:tab w:val="clear" w:pos="709"/>
          <w:tab w:val="left" w:pos="0" w:leader="none"/>
        </w:tabs>
        <w:bidi w:val="0"/>
        <w:spacing w:before="0" w:after="0"/>
        <w:ind w:left="0" w:right="0" w:hanging="0"/>
        <w:jc w:val="left"/>
        <w:rPr/>
      </w:pPr>
      <w:r>
        <w:rPr>
          <w:rStyle w:val="StrongEmphasis"/>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Transaction Execution:</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 With the locks held, the AES safely updates the account balances in the database.</w:t>
      </w:r>
    </w:p>
    <w:p>
      <w:pPr>
        <w:pStyle w:val="TextBody"/>
        <w:widowControl/>
        <w:numPr>
          <w:ilvl w:val="0"/>
          <w:numId w:val="3"/>
        </w:numPr>
        <w:pBdr/>
        <w:tabs>
          <w:tab w:val="clear" w:pos="709"/>
          <w:tab w:val="left" w:pos="0" w:leader="none"/>
        </w:tabs>
        <w:bidi w:val="0"/>
        <w:spacing w:before="0" w:after="0"/>
        <w:ind w:left="0" w:right="0" w:hanging="0"/>
        <w:jc w:val="left"/>
        <w:rPr/>
      </w:pPr>
      <w:r>
        <w:rPr>
          <w:rStyle w:val="StrongEmphasis"/>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Lock Release:</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 After a successful update, the AES instructs the PMS to release the locks, making the accounts available for other transactions.</w:t>
      </w:r>
    </w:p>
    <w:p>
      <w:pPr>
        <w:pStyle w:val="TextBody"/>
        <w:bidi w:val="0"/>
        <w:jc w:val="left"/>
        <w:rPr>
          <w:rStyle w:val="StrongEmphasis"/>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0"/>
        </w:rPr>
      </w:pPr>
      <w:r>
        <w:rPr/>
      </w:r>
    </w:p>
    <w:p>
      <w:pPr>
        <w:pStyle w:val="TextBody"/>
        <w:bidi w:val="0"/>
        <w:jc w:val="left"/>
        <w:rPr>
          <w:rStyle w:val="StrongEmphasis"/>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0"/>
        </w:rPr>
      </w:pPr>
      <w:r>
        <w:rPr/>
      </w:r>
    </w:p>
    <w:p>
      <w:pPr>
        <w:pStyle w:val="TextBody"/>
        <w:bidi w:val="0"/>
        <w:jc w:val="left"/>
        <w:rPr>
          <w:rStyle w:val="StrongEmphasis"/>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0"/>
        </w:rPr>
      </w:pPr>
      <w:r>
        <w:rPr/>
      </w:r>
    </w:p>
    <w:p>
      <w:pPr>
        <w:pStyle w:val="Heading3"/>
        <w:bidi w:val="0"/>
        <w:jc w:val="left"/>
        <w:rPr/>
      </w:pPr>
      <w:r>
        <w:rPr>
          <w:rStyle w:val="StrongEmphasis"/>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0"/>
        </w:rPr>
        <w:t>5. Locking Scenarios Analysis (For Stakeholder Review)</w:t>
      </w:r>
    </w:p>
    <w:p>
      <w:pPr>
        <w:pStyle w:val="TextBody"/>
        <w:widowControl/>
        <w:bidi w:val="0"/>
        <w:spacing w:before="240" w:after="240"/>
        <w:ind w:left="0" w:right="0" w:hanging="0"/>
        <w:jc w:val="lef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This section directly addresses the action item to document scenarios for Hidian's review.</w:t>
      </w:r>
    </w:p>
    <w:p>
      <w:pPr>
        <w:pStyle w:val="TextBody"/>
        <w:bidi w:val="0"/>
        <w:jc w:val="left"/>
        <w:rPr>
          <w:rStyle w:val="StrongEmphasis"/>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0"/>
        </w:rPr>
      </w:pPr>
      <w:r>
        <w:rPr/>
      </w:r>
    </w:p>
    <w:tbl>
      <w:tblPr>
        <w:tblW w:w="9638" w:type="dxa"/>
        <w:jc w:val="left"/>
        <w:tblInd w:w="0" w:type="dxa"/>
        <w:tblLayout w:type="fixed"/>
        <w:tblCellMar>
          <w:top w:w="0" w:type="dxa"/>
          <w:left w:w="0" w:type="dxa"/>
          <w:bottom w:w="150" w:type="dxa"/>
          <w:right w:w="0" w:type="dxa"/>
        </w:tblCellMar>
      </w:tblPr>
      <w:tblGrid>
        <w:gridCol w:w="1226"/>
        <w:gridCol w:w="1727"/>
        <w:gridCol w:w="1703"/>
        <w:gridCol w:w="1422"/>
        <w:gridCol w:w="1631"/>
        <w:gridCol w:w="1929"/>
      </w:tblGrid>
      <w:tr>
        <w:trPr>
          <w:tblHeader w:val="true"/>
        </w:trPr>
        <w:tc>
          <w:tcPr>
            <w:tcW w:w="1226" w:type="dxa"/>
            <w:tcBorders>
              <w:bottom w:val="single" w:sz="2" w:space="0" w:color="000000"/>
            </w:tcBorders>
            <w:vAlign w:val="center"/>
          </w:tcPr>
          <w:p>
            <w:pPr>
              <w:pStyle w:val="TableHeading"/>
              <w:bidi w:val="0"/>
              <w:spacing w:lineRule="atLeast" w:line="375"/>
              <w:jc w:val="lef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Scenario ID</w:t>
            </w:r>
          </w:p>
        </w:tc>
        <w:tc>
          <w:tcPr>
            <w:tcW w:w="1727" w:type="dxa"/>
            <w:tcBorders>
              <w:bottom w:val="single" w:sz="2" w:space="0" w:color="000000"/>
            </w:tcBorders>
            <w:vAlign w:val="center"/>
          </w:tcPr>
          <w:p>
            <w:pPr>
              <w:pStyle w:val="TableHeading"/>
              <w:bidi w:val="0"/>
              <w:spacing w:lineRule="atLeast" w:line="375"/>
              <w:jc w:val="lef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Transaction Type</w:t>
            </w:r>
          </w:p>
        </w:tc>
        <w:tc>
          <w:tcPr>
            <w:tcW w:w="1703" w:type="dxa"/>
            <w:tcBorders>
              <w:bottom w:val="single" w:sz="2" w:space="0" w:color="000000"/>
            </w:tcBorders>
            <w:vAlign w:val="center"/>
          </w:tcPr>
          <w:p>
            <w:pPr>
              <w:pStyle w:val="TableHeading"/>
              <w:bidi w:val="0"/>
              <w:spacing w:lineRule="atLeast" w:line="375"/>
              <w:jc w:val="lef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Description</w:t>
            </w:r>
          </w:p>
        </w:tc>
        <w:tc>
          <w:tcPr>
            <w:tcW w:w="1422" w:type="dxa"/>
            <w:tcBorders>
              <w:bottom w:val="single" w:sz="2" w:space="0" w:color="000000"/>
            </w:tcBorders>
            <w:vAlign w:val="center"/>
          </w:tcPr>
          <w:p>
            <w:pPr>
              <w:pStyle w:val="TableHeading"/>
              <w:bidi w:val="0"/>
              <w:spacing w:lineRule="atLeast" w:line="375"/>
              <w:jc w:val="lef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Accounts Involved</w:t>
            </w:r>
          </w:p>
        </w:tc>
        <w:tc>
          <w:tcPr>
            <w:tcW w:w="1631" w:type="dxa"/>
            <w:tcBorders>
              <w:bottom w:val="single" w:sz="2" w:space="0" w:color="000000"/>
            </w:tcBorders>
            <w:vAlign w:val="center"/>
          </w:tcPr>
          <w:p>
            <w:pPr>
              <w:pStyle w:val="TableHeading"/>
              <w:bidi w:val="0"/>
              <w:spacing w:lineRule="atLeast" w:line="375"/>
              <w:jc w:val="lef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Locking Strategy</w:t>
            </w:r>
          </w:p>
        </w:tc>
        <w:tc>
          <w:tcPr>
            <w:tcW w:w="1929" w:type="dxa"/>
            <w:tcBorders>
              <w:bottom w:val="single" w:sz="2" w:space="0" w:color="000000"/>
            </w:tcBorders>
            <w:vAlign w:val="center"/>
          </w:tcPr>
          <w:p>
            <w:pPr>
              <w:pStyle w:val="TableHeading"/>
              <w:bidi w:val="0"/>
              <w:spacing w:lineRule="atLeast" w:line="375"/>
              <w:jc w:val="lef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Rationale &amp; Potential Issue Prevented</w:t>
            </w:r>
          </w:p>
        </w:tc>
      </w:tr>
      <w:tr>
        <w:trPr/>
        <w:tc>
          <w:tcPr>
            <w:tcW w:w="1226" w:type="dxa"/>
            <w:tcBorders>
              <w:bottom w:val="single" w:sz="2" w:space="0" w:color="000000"/>
            </w:tcBorders>
            <w:vAlign w:val="center"/>
          </w:tcPr>
          <w:p>
            <w:pPr>
              <w:pStyle w:val="TableContents"/>
              <w:bidi w:val="0"/>
              <w:spacing w:lineRule="atLeast" w:line="375"/>
              <w:jc w:val="left"/>
              <w:rPr/>
            </w:pPr>
            <w:r>
              <w:rPr>
                <w:rStyle w:val="StrongEmphasis"/>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SC-01</w:t>
            </w:r>
          </w:p>
        </w:tc>
        <w:tc>
          <w:tcPr>
            <w:tcW w:w="1727" w:type="dxa"/>
            <w:tcBorders>
              <w:bottom w:val="single" w:sz="2" w:space="0" w:color="000000"/>
            </w:tcBorders>
            <w:vAlign w:val="center"/>
          </w:tcPr>
          <w:p>
            <w:pPr>
              <w:pStyle w:val="TableContents"/>
              <w:bidi w:val="0"/>
              <w:spacing w:lineRule="atLeast" w:line="375"/>
              <w:jc w:val="lef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Single Debit-Single Credit (SDSC)</w:t>
            </w:r>
          </w:p>
        </w:tc>
        <w:tc>
          <w:tcPr>
            <w:tcW w:w="1703" w:type="dxa"/>
            <w:tcBorders>
              <w:bottom w:val="single" w:sz="2" w:space="0" w:color="000000"/>
            </w:tcBorders>
            <w:vAlign w:val="center"/>
          </w:tcPr>
          <w:p>
            <w:pPr>
              <w:pStyle w:val="TableContents"/>
              <w:bidi w:val="0"/>
              <w:spacing w:lineRule="atLeast" w:line="375"/>
              <w:jc w:val="lef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A simple transfer from Account A to Account B.</w:t>
            </w:r>
          </w:p>
        </w:tc>
        <w:tc>
          <w:tcPr>
            <w:tcW w:w="1422" w:type="dxa"/>
            <w:tcBorders>
              <w:bottom w:val="single" w:sz="2" w:space="0" w:color="000000"/>
            </w:tcBorders>
            <w:vAlign w:val="center"/>
          </w:tcPr>
          <w:p>
            <w:pPr>
              <w:pStyle w:val="TableContents"/>
              <w:bidi w:val="0"/>
              <w:spacing w:lineRule="atLeast" w:line="375"/>
              <w:jc w:val="left"/>
              <w:rPr/>
            </w:pPr>
            <w:r>
              <w:rPr>
                <w:rStyle w:val="StrongEmphasis"/>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Debit:</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 A</w:t>
              <w:br/>
            </w:r>
            <w:r>
              <w:rPr>
                <w:rStyle w:val="StrongEmphasis"/>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Credit:</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 B</w:t>
            </w:r>
          </w:p>
        </w:tc>
        <w:tc>
          <w:tcPr>
            <w:tcW w:w="1631" w:type="dxa"/>
            <w:tcBorders>
              <w:bottom w:val="single" w:sz="2" w:space="0" w:color="000000"/>
            </w:tcBorders>
            <w:vAlign w:val="center"/>
          </w:tcPr>
          <w:p>
            <w:pPr>
              <w:pStyle w:val="TableContents"/>
              <w:bidi w:val="0"/>
              <w:spacing w:lineRule="atLeast" w:line="375"/>
              <w:jc w:val="left"/>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Lock </w:t>
            </w:r>
            <w:r>
              <w:rPr>
                <w:rStyle w:val="StrongEmphasis"/>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A</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 and </w:t>
            </w:r>
            <w:r>
              <w:rPr>
                <w:rStyle w:val="StrongEmphasis"/>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B</w:t>
            </w:r>
          </w:p>
        </w:tc>
        <w:tc>
          <w:tcPr>
            <w:tcW w:w="1929" w:type="dxa"/>
            <w:tcBorders>
              <w:bottom w:val="single" w:sz="2" w:space="0" w:color="000000"/>
            </w:tcBorders>
            <w:vAlign w:val="center"/>
          </w:tcPr>
          <w:p>
            <w:pPr>
              <w:pStyle w:val="TableContents"/>
              <w:bidi w:val="0"/>
              <w:spacing w:lineRule="atLeast" w:line="375"/>
              <w:jc w:val="lef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Prevents another transaction from modifying A or B while the transfer is in progress.</w:t>
            </w:r>
          </w:p>
        </w:tc>
      </w:tr>
      <w:tr>
        <w:trPr/>
        <w:tc>
          <w:tcPr>
            <w:tcW w:w="1226" w:type="dxa"/>
            <w:tcBorders>
              <w:bottom w:val="single" w:sz="2" w:space="0" w:color="000000"/>
            </w:tcBorders>
            <w:vAlign w:val="center"/>
          </w:tcPr>
          <w:p>
            <w:pPr>
              <w:pStyle w:val="TableContents"/>
              <w:bidi w:val="0"/>
              <w:spacing w:lineRule="atLeast" w:line="375"/>
              <w:jc w:val="left"/>
              <w:rPr/>
            </w:pPr>
            <w:r>
              <w:rPr>
                <w:rStyle w:val="StrongEmphasis"/>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SC-02</w:t>
            </w:r>
          </w:p>
        </w:tc>
        <w:tc>
          <w:tcPr>
            <w:tcW w:w="1727" w:type="dxa"/>
            <w:tcBorders>
              <w:bottom w:val="single" w:sz="2" w:space="0" w:color="000000"/>
            </w:tcBorders>
            <w:vAlign w:val="center"/>
          </w:tcPr>
          <w:p>
            <w:pPr>
              <w:pStyle w:val="TableContents"/>
              <w:bidi w:val="0"/>
              <w:spacing w:lineRule="atLeast" w:line="375"/>
              <w:jc w:val="lef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Single Debit-Multiple Credit (SDMC)</w:t>
            </w:r>
          </w:p>
        </w:tc>
        <w:tc>
          <w:tcPr>
            <w:tcW w:w="1703" w:type="dxa"/>
            <w:tcBorders>
              <w:bottom w:val="single" w:sz="2" w:space="0" w:color="000000"/>
            </w:tcBorders>
            <w:vAlign w:val="center"/>
          </w:tcPr>
          <w:p>
            <w:pPr>
              <w:pStyle w:val="TableContents"/>
              <w:bidi w:val="0"/>
              <w:spacing w:lineRule="atLeast" w:line="375"/>
              <w:jc w:val="lef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One account (A) debited, multiple accounts (B, C, D) credited. (e.g., a payroll run).</w:t>
            </w:r>
          </w:p>
        </w:tc>
        <w:tc>
          <w:tcPr>
            <w:tcW w:w="1422" w:type="dxa"/>
            <w:tcBorders>
              <w:bottom w:val="single" w:sz="2" w:space="0" w:color="000000"/>
            </w:tcBorders>
            <w:vAlign w:val="center"/>
          </w:tcPr>
          <w:p>
            <w:pPr>
              <w:pStyle w:val="TableContents"/>
              <w:bidi w:val="0"/>
              <w:spacing w:lineRule="atLeast" w:line="375"/>
              <w:jc w:val="left"/>
              <w:rPr/>
            </w:pPr>
            <w:r>
              <w:rPr>
                <w:rStyle w:val="StrongEmphasis"/>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Debit:</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 A</w:t>
              <w:br/>
            </w:r>
            <w:r>
              <w:rPr>
                <w:rStyle w:val="StrongEmphasis"/>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Credits:</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 B, C, D</w:t>
            </w:r>
          </w:p>
        </w:tc>
        <w:tc>
          <w:tcPr>
            <w:tcW w:w="1631" w:type="dxa"/>
            <w:tcBorders>
              <w:bottom w:val="single" w:sz="2" w:space="0" w:color="000000"/>
            </w:tcBorders>
            <w:vAlign w:val="center"/>
          </w:tcPr>
          <w:p>
            <w:pPr>
              <w:pStyle w:val="TableContents"/>
              <w:bidi w:val="0"/>
              <w:spacing w:lineRule="atLeast" w:line="375"/>
              <w:jc w:val="left"/>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Lock </w:t>
            </w:r>
            <w:r>
              <w:rPr>
                <w:rStyle w:val="StrongEmphasis"/>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A, B, C, D</w:t>
            </w:r>
          </w:p>
        </w:tc>
        <w:tc>
          <w:tcPr>
            <w:tcW w:w="1929" w:type="dxa"/>
            <w:tcBorders>
              <w:bottom w:val="single" w:sz="2" w:space="0" w:color="000000"/>
            </w:tcBorders>
            <w:vAlign w:val="center"/>
          </w:tcPr>
          <w:p>
            <w:pPr>
              <w:pStyle w:val="TableContents"/>
              <w:bidi w:val="0"/>
              <w:spacing w:lineRule="atLeast" w:line="375"/>
              <w:jc w:val="lef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Prevents a concurrent transaction from debiting A while it's being depleted, or crediting B/C/D while they are being funded.</w:t>
            </w:r>
          </w:p>
        </w:tc>
      </w:tr>
      <w:tr>
        <w:trPr/>
        <w:tc>
          <w:tcPr>
            <w:tcW w:w="1226" w:type="dxa"/>
            <w:tcBorders>
              <w:bottom w:val="single" w:sz="2" w:space="0" w:color="000000"/>
            </w:tcBorders>
            <w:vAlign w:val="center"/>
          </w:tcPr>
          <w:p>
            <w:pPr>
              <w:pStyle w:val="TableContents"/>
              <w:bidi w:val="0"/>
              <w:spacing w:lineRule="atLeast" w:line="375"/>
              <w:jc w:val="left"/>
              <w:rPr/>
            </w:pPr>
            <w:r>
              <w:rPr>
                <w:rStyle w:val="StrongEmphasis"/>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SC-03</w:t>
            </w:r>
          </w:p>
        </w:tc>
        <w:tc>
          <w:tcPr>
            <w:tcW w:w="1727" w:type="dxa"/>
            <w:tcBorders>
              <w:bottom w:val="single" w:sz="2" w:space="0" w:color="000000"/>
            </w:tcBorders>
            <w:vAlign w:val="center"/>
          </w:tcPr>
          <w:p>
            <w:pPr>
              <w:pStyle w:val="TableContents"/>
              <w:bidi w:val="0"/>
              <w:spacing w:lineRule="atLeast" w:line="375"/>
              <w:jc w:val="lef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Concurrent SDSC with Overlap</w:t>
            </w:r>
          </w:p>
        </w:tc>
        <w:tc>
          <w:tcPr>
            <w:tcW w:w="1703" w:type="dxa"/>
            <w:tcBorders>
              <w:bottom w:val="single" w:sz="2" w:space="0" w:color="000000"/>
            </w:tcBorders>
            <w:vAlign w:val="center"/>
          </w:tcPr>
          <w:p>
            <w:pPr>
              <w:pStyle w:val="TableContents"/>
              <w:bidi w:val="0"/>
              <w:spacing w:lineRule="atLeast" w:line="375"/>
              <w:jc w:val="lef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Two transfers happen at once:</w:t>
              <w:br/>
              <w:t>T1: A -&gt; B</w:t>
              <w:br/>
              <w:t>T2: B -&gt; C</w:t>
            </w:r>
          </w:p>
        </w:tc>
        <w:tc>
          <w:tcPr>
            <w:tcW w:w="1422" w:type="dxa"/>
            <w:tcBorders>
              <w:bottom w:val="single" w:sz="2" w:space="0" w:color="000000"/>
            </w:tcBorders>
            <w:vAlign w:val="center"/>
          </w:tcPr>
          <w:p>
            <w:pPr>
              <w:pStyle w:val="TableContents"/>
              <w:bidi w:val="0"/>
              <w:spacing w:lineRule="atLeast" w:line="375"/>
              <w:jc w:val="left"/>
              <w:rPr/>
            </w:pPr>
            <w:r>
              <w:rPr>
                <w:rStyle w:val="StrongEmphasis"/>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T1:</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 A, B</w:t>
              <w:br/>
            </w:r>
            <w:r>
              <w:rPr>
                <w:rStyle w:val="StrongEmphasis"/>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T2:</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 B, C</w:t>
            </w:r>
          </w:p>
        </w:tc>
        <w:tc>
          <w:tcPr>
            <w:tcW w:w="1631" w:type="dxa"/>
            <w:tcBorders>
              <w:bottom w:val="single" w:sz="2" w:space="0" w:color="000000"/>
            </w:tcBorders>
            <w:vAlign w:val="center"/>
          </w:tcPr>
          <w:p>
            <w:pPr>
              <w:pStyle w:val="TableContents"/>
              <w:bidi w:val="0"/>
              <w:spacing w:lineRule="atLeast" w:line="375"/>
              <w:jc w:val="left"/>
              <w:rPr/>
            </w:pPr>
            <w:r>
              <w:rPr>
                <w:rStyle w:val="StrongEmphasis"/>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T1:</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 Locks A, B</w:t>
              <w:br/>
            </w:r>
            <w:r>
              <w:rPr>
                <w:rStyle w:val="StrongEmphasis"/>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T2:</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 Locks B, C</w:t>
            </w:r>
          </w:p>
        </w:tc>
        <w:tc>
          <w:tcPr>
            <w:tcW w:w="1929" w:type="dxa"/>
            <w:tcBorders>
              <w:bottom w:val="single" w:sz="2" w:space="0" w:color="000000"/>
            </w:tcBorders>
            <w:vAlign w:val="center"/>
          </w:tcPr>
          <w:p>
            <w:pPr>
              <w:pStyle w:val="TableContents"/>
              <w:bidi w:val="0"/>
              <w:spacing w:lineRule="atLeast" w:line="375"/>
              <w:jc w:val="left"/>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The PMS will serialize access to Account B. T2 will wait for T1 to release the lock on B, preventing a corrupt balance on B. </w:t>
            </w:r>
            <w:r>
              <w:rPr>
                <w:rStyle w:val="StrongEmphasis"/>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This is the key scenario justifying locking both accounts.</w:t>
            </w:r>
          </w:p>
        </w:tc>
      </w:tr>
      <w:tr>
        <w:trPr/>
        <w:tc>
          <w:tcPr>
            <w:tcW w:w="1226" w:type="dxa"/>
            <w:tcBorders>
              <w:bottom w:val="single" w:sz="2" w:space="0" w:color="000000"/>
            </w:tcBorders>
            <w:vAlign w:val="center"/>
          </w:tcPr>
          <w:p>
            <w:pPr>
              <w:pStyle w:val="TableContents"/>
              <w:bidi w:val="0"/>
              <w:spacing w:lineRule="atLeast" w:line="375"/>
              <w:jc w:val="left"/>
              <w:rPr/>
            </w:pPr>
            <w:r>
              <w:rPr>
                <w:rStyle w:val="StrongEmphasis"/>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SC-04</w:t>
            </w:r>
          </w:p>
        </w:tc>
        <w:tc>
          <w:tcPr>
            <w:tcW w:w="1727" w:type="dxa"/>
            <w:tcBorders>
              <w:bottom w:val="single" w:sz="2" w:space="0" w:color="000000"/>
            </w:tcBorders>
            <w:vAlign w:val="center"/>
          </w:tcPr>
          <w:p>
            <w:pPr>
              <w:pStyle w:val="TableContents"/>
              <w:bidi w:val="0"/>
              <w:spacing w:lineRule="atLeast" w:line="375"/>
              <w:jc w:val="lef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Concurrent SDMC &amp; SDSC</w:t>
            </w:r>
          </w:p>
        </w:tc>
        <w:tc>
          <w:tcPr>
            <w:tcW w:w="1703" w:type="dxa"/>
            <w:tcBorders>
              <w:bottom w:val="single" w:sz="2" w:space="0" w:color="000000"/>
            </w:tcBorders>
            <w:vAlign w:val="center"/>
          </w:tcPr>
          <w:p>
            <w:pPr>
              <w:pStyle w:val="TableContents"/>
              <w:bidi w:val="0"/>
              <w:spacing w:lineRule="atLeast" w:line="375"/>
              <w:jc w:val="lef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T1 (SDMC): A -&gt; B, C, D</w:t>
              <w:br/>
              <w:t>T2 (SDSC): B -&gt; E</w:t>
            </w:r>
          </w:p>
        </w:tc>
        <w:tc>
          <w:tcPr>
            <w:tcW w:w="1422" w:type="dxa"/>
            <w:tcBorders>
              <w:bottom w:val="single" w:sz="2" w:space="0" w:color="000000"/>
            </w:tcBorders>
            <w:vAlign w:val="center"/>
          </w:tcPr>
          <w:p>
            <w:pPr>
              <w:pStyle w:val="TableContents"/>
              <w:bidi w:val="0"/>
              <w:spacing w:lineRule="atLeast" w:line="375"/>
              <w:jc w:val="left"/>
              <w:rPr/>
            </w:pPr>
            <w:r>
              <w:rPr>
                <w:rStyle w:val="StrongEmphasis"/>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T1:</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 A, B, C, D</w:t>
              <w:br/>
            </w:r>
            <w:r>
              <w:rPr>
                <w:rStyle w:val="StrongEmphasis"/>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T2:</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 B, E</w:t>
            </w:r>
          </w:p>
        </w:tc>
        <w:tc>
          <w:tcPr>
            <w:tcW w:w="1631" w:type="dxa"/>
            <w:tcBorders>
              <w:bottom w:val="single" w:sz="2" w:space="0" w:color="000000"/>
            </w:tcBorders>
            <w:vAlign w:val="center"/>
          </w:tcPr>
          <w:p>
            <w:pPr>
              <w:pStyle w:val="TableContents"/>
              <w:bidi w:val="0"/>
              <w:spacing w:lineRule="atLeast" w:line="375"/>
              <w:jc w:val="left"/>
              <w:rPr/>
            </w:pPr>
            <w:r>
              <w:rPr>
                <w:rStyle w:val="StrongEmphasis"/>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T1:</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 Locks A, B, C, D</w:t>
              <w:br/>
            </w:r>
            <w:r>
              <w:rPr>
                <w:rStyle w:val="StrongEmphasis"/>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T2:</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 Locks B, E</w:t>
            </w:r>
          </w:p>
        </w:tc>
        <w:tc>
          <w:tcPr>
            <w:tcW w:w="1929" w:type="dxa"/>
            <w:tcBorders>
              <w:bottom w:val="single" w:sz="2" w:space="0" w:color="000000"/>
            </w:tcBorders>
            <w:vAlign w:val="center"/>
          </w:tcPr>
          <w:p>
            <w:pPr>
              <w:pStyle w:val="TableContents"/>
              <w:bidi w:val="0"/>
              <w:spacing w:lineRule="atLeast" w:line="375"/>
              <w:jc w:val="lef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The lock on Account B by T1 will force T2 to wait, ensuring B's credit from T1 is complete before it is debited by T2.</w:t>
            </w:r>
          </w:p>
        </w:tc>
      </w:tr>
    </w:tbl>
    <w:p>
      <w:pPr>
        <w:pStyle w:val="TextBody"/>
        <w:bidi w:val="0"/>
        <w:jc w:val="left"/>
        <w:rPr>
          <w:rStyle w:val="StrongEmphasis"/>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0"/>
        </w:rPr>
      </w:pPr>
      <w:r>
        <w:rPr/>
      </w:r>
    </w:p>
    <w:p>
      <w:pPr>
        <w:pStyle w:val="TextBody"/>
        <w:bidi w:val="0"/>
        <w:jc w:val="left"/>
        <w:rPr>
          <w:rStyle w:val="StrongEmphasis"/>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0"/>
        </w:rPr>
      </w:pPr>
      <w:r>
        <w:rPr/>
      </w:r>
    </w:p>
    <w:p>
      <w:pPr>
        <w:pStyle w:val="TextBody"/>
        <w:bidi w:val="0"/>
        <w:jc w:val="left"/>
        <w:rPr>
          <w:rStyle w:val="StrongEmphasis"/>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0"/>
        </w:rPr>
      </w:pPr>
      <w:r>
        <w:rPr/>
      </w:r>
    </w:p>
    <w:p>
      <w:pPr>
        <w:pStyle w:val="TextBody"/>
        <w:bidi w:val="0"/>
        <w:jc w:val="left"/>
        <w:rPr>
          <w:rStyle w:val="StrongEmphasis"/>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0"/>
        </w:rPr>
      </w:pPr>
      <w:r>
        <w:rPr/>
      </w:r>
    </w:p>
    <w:p>
      <w:pPr>
        <w:pStyle w:val="TextBody"/>
        <w:bidi w:val="0"/>
        <w:jc w:val="left"/>
        <w:rPr>
          <w:rStyle w:val="StrongEmphasis"/>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0"/>
        </w:rPr>
      </w:pPr>
      <w:r>
        <w:rPr/>
      </w:r>
    </w:p>
    <w:p>
      <w:pPr>
        <w:pStyle w:val="TextBody"/>
        <w:bidi w:val="0"/>
        <w:jc w:val="left"/>
        <w:rPr>
          <w:rStyle w:val="StrongEmphasis"/>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0"/>
        </w:rPr>
      </w:pPr>
      <w:r>
        <w:rPr/>
      </w:r>
    </w:p>
    <w:p>
      <w:pPr>
        <w:pStyle w:val="TextBody"/>
        <w:bidi w:val="0"/>
        <w:jc w:val="left"/>
        <w:rPr>
          <w:rStyle w:val="StrongEmphasis"/>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0"/>
        </w:rPr>
      </w:pPr>
      <w:r>
        <w:rPr/>
      </w:r>
    </w:p>
    <w:p>
      <w:pPr>
        <w:pStyle w:val="TextBody"/>
        <w:bidi w:val="0"/>
        <w:jc w:val="left"/>
        <w:rPr>
          <w:rStyle w:val="StrongEmphasis"/>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0"/>
        </w:rPr>
      </w:pPr>
      <w:r>
        <w:rPr/>
      </w:r>
    </w:p>
    <w:p>
      <w:pPr>
        <w:pStyle w:val="Heading3"/>
        <w:bidi w:val="0"/>
        <w:jc w:val="left"/>
        <w:rPr/>
      </w:pPr>
      <w:r>
        <w:rPr>
          <w:rStyle w:val="StrongEmphasis"/>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0"/>
        </w:rPr>
        <w:t>6. Deployment &amp; Infrastructure</w:t>
      </w:r>
    </w:p>
    <w:p>
      <w:pPr>
        <w:pStyle w:val="Heading4"/>
        <w:widowControl/>
        <w:bidi w:val="0"/>
        <w:spacing w:lineRule="atLeast" w:line="420" w:before="240" w:after="240"/>
        <w:ind w:left="0" w:right="0" w:hanging="0"/>
        <w:jc w:val="lef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6.1 Service Deployment View</w:t>
      </w:r>
    </w:p>
    <w:p>
      <w:pPr>
        <w:pStyle w:val="TextBody"/>
        <w:bidi w:val="0"/>
        <w:jc w:val="left"/>
        <w:rPr>
          <w:rStyle w:val="StrongEmphasis"/>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0"/>
        </w:rPr>
      </w:pPr>
      <w:r>
        <w:rPr/>
      </w:r>
    </w:p>
    <w:p>
      <w:pPr>
        <w:pStyle w:val="TextBody"/>
        <w:bidi w:val="0"/>
        <w:jc w:val="left"/>
        <w:rPr>
          <w:rStyle w:val="StrongEmphasis"/>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0"/>
        </w:rPr>
      </w:pPr>
      <w:r>
        <w:rP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6120130" cy="4375150"/>
            <wp:effectExtent l="0" t="0" r="0" b="0"/>
            <wp:wrapSquare wrapText="largest"/>
            <wp:docPr id="3"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descr=""/>
                    <pic:cNvPicPr>
                      <a:picLocks noChangeAspect="1" noChangeArrowheads="1"/>
                    </pic:cNvPicPr>
                  </pic:nvPicPr>
                  <pic:blipFill>
                    <a:blip r:embed="rId4"/>
                    <a:stretch>
                      <a:fillRect/>
                    </a:stretch>
                  </pic:blipFill>
                  <pic:spPr bwMode="auto">
                    <a:xfrm>
                      <a:off x="0" y="0"/>
                      <a:ext cx="6120130" cy="4375150"/>
                    </a:xfrm>
                    <a:prstGeom prst="rect">
                      <a:avLst/>
                    </a:prstGeom>
                  </pic:spPr>
                </pic:pic>
              </a:graphicData>
            </a:graphic>
          </wp:anchor>
        </w:drawing>
      </w:r>
    </w:p>
    <w:p>
      <w:pPr>
        <w:pStyle w:val="TextBody"/>
        <w:bidi w:val="0"/>
        <w:jc w:val="left"/>
        <w:rPr>
          <w:rStyle w:val="StrongEmphasis"/>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0"/>
        </w:rPr>
      </w:pPr>
      <w:r>
        <w:rPr/>
      </w:r>
    </w:p>
    <w:p>
      <w:pPr>
        <w:pStyle w:val="TextBody"/>
        <w:bidi w:val="0"/>
        <w:jc w:val="left"/>
        <w:rPr/>
      </w:pPr>
      <w:r>
        <w:rPr>
          <w:rStyle w:val="StrongEmphasis"/>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 xml:space="preserve"> </w:t>
      </w:r>
    </w:p>
    <w:p>
      <w:pPr>
        <w:pStyle w:val="TextBody"/>
        <w:bidi w:val="0"/>
        <w:jc w:val="left"/>
        <w:rPr/>
      </w:pPr>
      <w:r>
        <w:rPr>
          <w:rStyle w:val="StrongEmphasis"/>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Key Points:</w:t>
      </w:r>
    </w:p>
    <w:p>
      <w:pPr>
        <w:pStyle w:val="TextBody"/>
        <w:widowControl/>
        <w:numPr>
          <w:ilvl w:val="0"/>
          <w:numId w:val="4"/>
        </w:numPr>
        <w:pBdr/>
        <w:tabs>
          <w:tab w:val="clear" w:pos="709"/>
          <w:tab w:val="left" w:pos="0" w:leader="none"/>
        </w:tabs>
        <w:bidi w:val="0"/>
        <w:spacing w:before="0" w:after="0"/>
        <w:ind w:left="0" w:right="0" w:hanging="0"/>
        <w:jc w:val="left"/>
        <w:rPr/>
      </w:pPr>
      <w:r>
        <w:rPr>
          <w:rStyle w:val="StrongEmphasis"/>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Accounting Entry Service:</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 Stateless, horizontally scaled using multiple pods behind a load balancer.</w:t>
      </w:r>
    </w:p>
    <w:p>
      <w:pPr>
        <w:pStyle w:val="TextBody"/>
        <w:widowControl/>
        <w:numPr>
          <w:ilvl w:val="0"/>
          <w:numId w:val="4"/>
        </w:numPr>
        <w:pBdr/>
        <w:tabs>
          <w:tab w:val="clear" w:pos="709"/>
          <w:tab w:val="left" w:pos="0" w:leader="none"/>
        </w:tabs>
        <w:bidi w:val="0"/>
        <w:spacing w:before="0" w:after="0"/>
        <w:ind w:left="0" w:right="0" w:hanging="0"/>
        <w:jc w:val="left"/>
        <w:rPr/>
      </w:pPr>
      <w:r>
        <w:rPr>
          <w:rStyle w:val="StrongEmphasis"/>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Payment Marshal Service:</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 Deployed as a centralized service to act as a single source of truth for lock management. This prevents race conditions that could occur if multiple instances were managing locks independently.</w:t>
      </w:r>
    </w:p>
    <w:p>
      <w:pPr>
        <w:pStyle w:val="TextBody"/>
        <w:widowControl/>
        <w:numPr>
          <w:ilvl w:val="0"/>
          <w:numId w:val="4"/>
        </w:numPr>
        <w:pBdr/>
        <w:tabs>
          <w:tab w:val="clear" w:pos="709"/>
          <w:tab w:val="left" w:pos="0" w:leader="none"/>
        </w:tabs>
        <w:bidi w:val="0"/>
        <w:spacing w:lineRule="atLeast" w:line="330" w:before="0" w:after="0"/>
        <w:ind w:left="0" w:right="0" w:hanging="0"/>
        <w:jc w:val="left"/>
        <w:rPr/>
      </w:pPr>
      <w:r>
        <w:rPr>
          <w:rStyle w:val="StrongEmphasis"/>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Database:</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 Must support reliable locking mechanisms (e.g., row-level locks, </w:t>
      </w:r>
      <w:r>
        <w:rPr>
          <w:rStyle w:val="SourceText"/>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F1115"/>
          <w:spacing w:val="0"/>
          <w:sz w:val="24"/>
          <w:shd w:fill="EBEEF2" w:val="clear"/>
        </w:rPr>
        <w:t>SELECT FOR UPDATE</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 in SQL, or similar in NoSQL).</w:t>
      </w:r>
    </w:p>
    <w:p>
      <w:pPr>
        <w:pStyle w:val="TextBody"/>
        <w:bidi w:val="0"/>
        <w:jc w:val="left"/>
        <w:rPr>
          <w:rStyle w:val="StrongEmphasis"/>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0"/>
        </w:rPr>
      </w:pPr>
      <w:r>
        <w:rPr/>
      </w:r>
    </w:p>
    <w:p>
      <w:pPr>
        <w:pStyle w:val="TextBody"/>
        <w:bidi w:val="0"/>
        <w:jc w:val="left"/>
        <w:rPr>
          <w:rStyle w:val="StrongEmphasis"/>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0"/>
        </w:rPr>
      </w:pPr>
      <w:r>
        <w:rPr/>
      </w:r>
    </w:p>
    <w:p>
      <w:pPr>
        <w:pStyle w:val="TextBody"/>
        <w:bidi w:val="0"/>
        <w:jc w:val="left"/>
        <w:rPr>
          <w:rStyle w:val="StrongEmphasis"/>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0"/>
        </w:rPr>
      </w:pPr>
      <w:r>
        <w:rPr/>
      </w:r>
    </w:p>
    <w:p>
      <w:pPr>
        <w:pStyle w:val="Heading3"/>
        <w:bidi w:val="0"/>
        <w:jc w:val="left"/>
        <w:rPr/>
      </w:pPr>
      <w:r>
        <w:rPr>
          <w:rStyle w:val="StrongEmphasis"/>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0"/>
        </w:rPr>
        <w:t>7. Testing Strategy</w:t>
      </w:r>
    </w:p>
    <w:p>
      <w:pPr>
        <w:pStyle w:val="Heading4"/>
        <w:widowControl/>
        <w:bidi w:val="0"/>
        <w:spacing w:lineRule="atLeast" w:line="420" w:before="240" w:after="120"/>
        <w:ind w:left="0" w:right="0" w:hanging="0"/>
        <w:jc w:val="lef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7.1 Performance &amp; Load Testing</w:t>
      </w:r>
    </w:p>
    <w:p>
      <w:pPr>
        <w:pStyle w:val="TextBody"/>
        <w:widowControl/>
        <w:numPr>
          <w:ilvl w:val="0"/>
          <w:numId w:val="5"/>
        </w:numPr>
        <w:pBdr/>
        <w:tabs>
          <w:tab w:val="clear" w:pos="709"/>
          <w:tab w:val="left" w:pos="0" w:leader="none"/>
        </w:tabs>
        <w:bidi w:val="0"/>
        <w:spacing w:before="0" w:after="0"/>
        <w:ind w:left="0" w:right="0" w:hanging="0"/>
        <w:jc w:val="left"/>
        <w:rPr/>
      </w:pPr>
      <w:r>
        <w:rPr>
          <w:rStyle w:val="StrongEmphasis"/>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Tool:</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 JMeter</w:t>
      </w:r>
    </w:p>
    <w:p>
      <w:pPr>
        <w:pStyle w:val="TextBody"/>
        <w:widowControl/>
        <w:numPr>
          <w:ilvl w:val="0"/>
          <w:numId w:val="5"/>
        </w:numPr>
        <w:pBdr/>
        <w:tabs>
          <w:tab w:val="clear" w:pos="709"/>
          <w:tab w:val="left" w:pos="0" w:leader="none"/>
        </w:tabs>
        <w:bidi w:val="0"/>
        <w:spacing w:lineRule="atLeast" w:line="330" w:before="0" w:after="0"/>
        <w:ind w:left="0" w:right="0" w:hanging="0"/>
        <w:jc w:val="left"/>
        <w:rPr/>
      </w:pPr>
      <w:r>
        <w:rPr>
          <w:rStyle w:val="StrongEmphasis"/>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Scope:</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 Focus on the Payment Marshal Service endpoint (</w:t>
      </w:r>
      <w:r>
        <w:rPr>
          <w:rStyle w:val="SourceText"/>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F1115"/>
          <w:spacing w:val="0"/>
          <w:sz w:val="24"/>
          <w:shd w:fill="EBEEF2" w:val="clear"/>
        </w:rPr>
        <w:t>/marshal/lock</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w:t>
      </w:r>
    </w:p>
    <w:p>
      <w:pPr>
        <w:pStyle w:val="TextBody"/>
        <w:widowControl/>
        <w:numPr>
          <w:ilvl w:val="0"/>
          <w:numId w:val="5"/>
        </w:numPr>
        <w:pBdr/>
        <w:tabs>
          <w:tab w:val="clear" w:pos="709"/>
          <w:tab w:val="left" w:pos="0" w:leader="none"/>
        </w:tabs>
        <w:bidi w:val="0"/>
        <w:spacing w:before="0" w:after="120"/>
        <w:ind w:left="0" w:right="0" w:hanging="0"/>
        <w:jc w:val="left"/>
        <w:rPr/>
      </w:pPr>
      <w:r>
        <w:rPr>
          <w:rStyle w:val="StrongEmphasis"/>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Objectives:</w:t>
      </w:r>
    </w:p>
    <w:p>
      <w:pPr>
        <w:pStyle w:val="TextBody"/>
        <w:widowControl/>
        <w:numPr>
          <w:ilvl w:val="1"/>
          <w:numId w:val="5"/>
        </w:numPr>
        <w:pBdr/>
        <w:tabs>
          <w:tab w:val="clear" w:pos="709"/>
          <w:tab w:val="left" w:pos="0" w:leader="none"/>
        </w:tabs>
        <w:bidi w:val="0"/>
        <w:spacing w:before="0" w:after="0"/>
        <w:ind w:left="0" w:right="0" w:hanging="0"/>
        <w:jc w:val="left"/>
        <w:rPr/>
      </w:pPr>
      <w:r>
        <w:rPr>
          <w:rStyle w:val="StrongEmphasis"/>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Throughput:</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 Measure the maximum number of lock/unlock operations per second the PMS can handle.</w:t>
      </w:r>
    </w:p>
    <w:p>
      <w:pPr>
        <w:pStyle w:val="TextBody"/>
        <w:widowControl/>
        <w:numPr>
          <w:ilvl w:val="1"/>
          <w:numId w:val="5"/>
        </w:numPr>
        <w:pBdr/>
        <w:tabs>
          <w:tab w:val="clear" w:pos="709"/>
          <w:tab w:val="left" w:pos="0" w:leader="none"/>
        </w:tabs>
        <w:bidi w:val="0"/>
        <w:spacing w:before="0" w:after="0"/>
        <w:ind w:left="0" w:right="0" w:hanging="0"/>
        <w:jc w:val="left"/>
        <w:rPr/>
      </w:pPr>
      <w:r>
        <w:rPr>
          <w:rStyle w:val="StrongEmphasis"/>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Latency:</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 Measure the average, 95th, and 99th percentile response time for the lock acquisition under load.</w:t>
      </w:r>
    </w:p>
    <w:p>
      <w:pPr>
        <w:pStyle w:val="TextBody"/>
        <w:widowControl/>
        <w:numPr>
          <w:ilvl w:val="1"/>
          <w:numId w:val="5"/>
        </w:numPr>
        <w:pBdr/>
        <w:tabs>
          <w:tab w:val="clear" w:pos="709"/>
          <w:tab w:val="left" w:pos="0" w:leader="none"/>
        </w:tabs>
        <w:bidi w:val="0"/>
        <w:spacing w:before="0" w:after="0"/>
        <w:ind w:left="0" w:right="0" w:hanging="0"/>
        <w:jc w:val="left"/>
        <w:rPr/>
      </w:pPr>
      <w:r>
        <w:rPr>
          <w:rStyle w:val="StrongEmphasis"/>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Scalability:</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 Identify the point at which the PMS or database becomes a bottleneck.</w:t>
      </w:r>
    </w:p>
    <w:p>
      <w:pPr>
        <w:pStyle w:val="TextBody"/>
        <w:widowControl/>
        <w:numPr>
          <w:ilvl w:val="1"/>
          <w:numId w:val="5"/>
        </w:numPr>
        <w:pBdr/>
        <w:tabs>
          <w:tab w:val="clear" w:pos="709"/>
          <w:tab w:val="left" w:pos="0" w:leader="none"/>
        </w:tabs>
        <w:bidi w:val="0"/>
        <w:spacing w:before="0" w:after="0"/>
        <w:ind w:left="0" w:right="0" w:hanging="0"/>
        <w:jc w:val="left"/>
        <w:rPr/>
      </w:pPr>
      <w:r>
        <w:rPr>
          <w:rStyle w:val="StrongEmphasis"/>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Concurrency Validation:</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 Simulate the scenarios from </w:t>
      </w:r>
      <w:r>
        <w:rPr>
          <w:rStyle w:val="StrongEmphasis"/>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Section 5</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 (especially SC-03 and SC-04) with high concurrency to verify that no data races occur.</w:t>
      </w:r>
    </w:p>
    <w:p>
      <w:pPr>
        <w:pStyle w:val="TextBody"/>
        <w:widowControl/>
        <w:numPr>
          <w:ilvl w:val="0"/>
          <w:numId w:val="5"/>
        </w:numPr>
        <w:pBdr/>
        <w:tabs>
          <w:tab w:val="clear" w:pos="709"/>
          <w:tab w:val="left" w:pos="0" w:leader="none"/>
        </w:tabs>
        <w:bidi w:val="0"/>
        <w:spacing w:before="0" w:after="0"/>
        <w:ind w:left="0" w:right="0" w:hanging="0"/>
        <w:jc w:val="left"/>
        <w:rPr/>
      </w:pPr>
      <w:r>
        <w:rPr>
          <w:rStyle w:val="StrongEmphasis"/>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Test Data:</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 As per the action item, real-world accounting entry request examples will be collected and used to create realistic JMeter test plans.</w:t>
      </w:r>
    </w:p>
    <w:p>
      <w:pPr>
        <w:pStyle w:val="TextBody"/>
        <w:bidi w:val="0"/>
        <w:jc w:val="left"/>
        <w:rPr>
          <w:rStyle w:val="StrongEmphasis"/>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0"/>
        </w:rPr>
      </w:pPr>
      <w:r>
        <w:rPr/>
      </w:r>
    </w:p>
    <w:p>
      <w:pPr>
        <w:pStyle w:val="TextBody"/>
        <w:bidi w:val="0"/>
        <w:jc w:val="left"/>
        <w:rPr>
          <w:rStyle w:val="StrongEmphasis"/>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0"/>
        </w:rPr>
      </w:pPr>
      <w:r>
        <w:rPr/>
      </w:r>
    </w:p>
    <w:p>
      <w:pPr>
        <w:pStyle w:val="Heading3"/>
        <w:bidi w:val="0"/>
        <w:jc w:val="left"/>
        <w:rPr/>
      </w:pPr>
      <w:r>
        <w:rPr>
          <w:rStyle w:val="StrongEmphasis"/>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0"/>
        </w:rPr>
        <w:t>8. Open Points &amp; Decisions</w:t>
      </w:r>
    </w:p>
    <w:p>
      <w:pPr>
        <w:pStyle w:val="TextBody"/>
        <w:widowControl/>
        <w:numPr>
          <w:ilvl w:val="0"/>
          <w:numId w:val="6"/>
        </w:numPr>
        <w:pBdr/>
        <w:tabs>
          <w:tab w:val="clear" w:pos="709"/>
          <w:tab w:val="left" w:pos="0" w:leader="none"/>
        </w:tabs>
        <w:bidi w:val="0"/>
        <w:spacing w:before="0" w:after="0"/>
        <w:ind w:left="0" w:right="0" w:hanging="0"/>
        <w:jc w:val="left"/>
        <w:rPr/>
      </w:pPr>
      <w:r>
        <w:rPr>
          <w:rStyle w:val="StrongEmphasis"/>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Locking Strategy Final Sign-Off:</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 The current design locks </w:t>
      </w:r>
      <w:r>
        <w:rPr>
          <w:rStyle w:val="StrongEmphasis"/>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both debit and credit accounts</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 This requires formal review and sign-off from </w:t>
      </w:r>
      <w:r>
        <w:rPr>
          <w:rStyle w:val="StrongEmphasis"/>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Hidian</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 before go-live.</w:t>
      </w:r>
    </w:p>
    <w:p>
      <w:pPr>
        <w:pStyle w:val="TextBody"/>
        <w:widowControl/>
        <w:numPr>
          <w:ilvl w:val="0"/>
          <w:numId w:val="6"/>
        </w:numPr>
        <w:pBdr/>
        <w:tabs>
          <w:tab w:val="clear" w:pos="709"/>
          <w:tab w:val="left" w:pos="0" w:leader="none"/>
        </w:tabs>
        <w:bidi w:val="0"/>
        <w:spacing w:before="0" w:after="0"/>
        <w:ind w:left="0" w:right="0" w:hanging="0"/>
        <w:jc w:val="left"/>
        <w:rPr/>
      </w:pPr>
      <w:r>
        <w:rPr>
          <w:rStyle w:val="StrongEmphasis"/>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Fallback Strategy:</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 The implementation is flexible and can be adjusted to lock </w:t>
      </w:r>
      <w:r>
        <w:rPr>
          <w:rStyle w:val="StrongEmphasis"/>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only debit accounts</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 if required by stakeholders after review.</w:t>
      </w:r>
    </w:p>
    <w:p>
      <w:pPr>
        <w:pStyle w:val="TextBody"/>
        <w:bidi w:val="0"/>
        <w:jc w:val="left"/>
        <w:rPr>
          <w:rStyle w:val="StrongEmphasis"/>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0"/>
        </w:rPr>
      </w:pPr>
      <w:r>
        <w:rPr/>
      </w:r>
    </w:p>
    <w:p>
      <w:pPr>
        <w:pStyle w:val="TextBody"/>
        <w:bidi w:val="0"/>
        <w:jc w:val="left"/>
        <w:rPr>
          <w:rStyle w:val="StrongEmphasis"/>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0"/>
        </w:rPr>
      </w:pPr>
      <w:r>
        <w:rPr/>
      </w:r>
    </w:p>
    <w:p>
      <w:pPr>
        <w:pStyle w:val="TextBody"/>
        <w:bidi w:val="0"/>
        <w:jc w:val="left"/>
        <w:rPr>
          <w:rStyle w:val="StrongEmphasis"/>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0"/>
        </w:rPr>
      </w:pPr>
      <w:r>
        <w:rPr/>
      </w:r>
    </w:p>
    <w:p>
      <w:pPr>
        <w:pStyle w:val="TextBody"/>
        <w:bidi w:val="0"/>
        <w:jc w:val="left"/>
        <w:rPr>
          <w:rStyle w:val="StrongEmphasis"/>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0"/>
        </w:rPr>
      </w:pPr>
      <w:r>
        <w:rPr/>
      </w:r>
    </w:p>
    <w:p>
      <w:pPr>
        <w:pStyle w:val="Heading3"/>
        <w:bidi w:val="0"/>
        <w:jc w:val="left"/>
        <w:rPr/>
      </w:pPr>
      <w:r>
        <w:rPr>
          <w:rStyle w:val="StrongEmphasis"/>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0"/>
        </w:rPr>
        <w:t>9. Action Items &amp; Next Steps</w:t>
      </w:r>
    </w:p>
    <w:tbl>
      <w:tblPr>
        <w:tblW w:w="9638" w:type="dxa"/>
        <w:jc w:val="left"/>
        <w:tblInd w:w="0" w:type="dxa"/>
        <w:tblLayout w:type="fixed"/>
        <w:tblCellMar>
          <w:top w:w="0" w:type="dxa"/>
          <w:left w:w="0" w:type="dxa"/>
          <w:bottom w:w="150" w:type="dxa"/>
          <w:right w:w="0" w:type="dxa"/>
        </w:tblCellMar>
      </w:tblPr>
      <w:tblGrid>
        <w:gridCol w:w="7174"/>
        <w:gridCol w:w="1407"/>
        <w:gridCol w:w="1057"/>
      </w:tblGrid>
      <w:tr>
        <w:trPr>
          <w:tblHeader w:val="true"/>
        </w:trPr>
        <w:tc>
          <w:tcPr>
            <w:tcW w:w="7174" w:type="dxa"/>
            <w:tcBorders>
              <w:bottom w:val="single" w:sz="2" w:space="0" w:color="000000"/>
            </w:tcBorders>
            <w:vAlign w:val="center"/>
          </w:tcPr>
          <w:p>
            <w:pPr>
              <w:pStyle w:val="TableHeading"/>
              <w:bidi w:val="0"/>
              <w:spacing w:lineRule="atLeast" w:line="375"/>
              <w:jc w:val="lef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Item</w:t>
            </w:r>
          </w:p>
        </w:tc>
        <w:tc>
          <w:tcPr>
            <w:tcW w:w="1407" w:type="dxa"/>
            <w:tcBorders>
              <w:bottom w:val="single" w:sz="2" w:space="0" w:color="000000"/>
            </w:tcBorders>
            <w:vAlign w:val="center"/>
          </w:tcPr>
          <w:p>
            <w:pPr>
              <w:pStyle w:val="TableHeading"/>
              <w:bidi w:val="0"/>
              <w:spacing w:lineRule="atLeast" w:line="375"/>
              <w:jc w:val="lef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Owner</w:t>
            </w:r>
          </w:p>
        </w:tc>
        <w:tc>
          <w:tcPr>
            <w:tcW w:w="1057" w:type="dxa"/>
            <w:tcBorders>
              <w:bottom w:val="single" w:sz="2" w:space="0" w:color="000000"/>
            </w:tcBorders>
            <w:vAlign w:val="center"/>
          </w:tcPr>
          <w:p>
            <w:pPr>
              <w:pStyle w:val="TableHeading"/>
              <w:bidi w:val="0"/>
              <w:spacing w:lineRule="atLeast" w:line="375"/>
              <w:jc w:val="lef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sz w:val="23"/>
              </w:rPr>
              <w:t>Status</w:t>
            </w:r>
          </w:p>
        </w:tc>
      </w:tr>
      <w:tr>
        <w:trPr/>
        <w:tc>
          <w:tcPr>
            <w:tcW w:w="7174" w:type="dxa"/>
            <w:tcBorders>
              <w:bottom w:val="single" w:sz="2" w:space="0" w:color="000000"/>
            </w:tcBorders>
            <w:vAlign w:val="center"/>
          </w:tcPr>
          <w:p>
            <w:pPr>
              <w:pStyle w:val="TableContents"/>
              <w:bidi w:val="0"/>
              <w:spacing w:lineRule="atLeast" w:line="375"/>
              <w:jc w:val="lef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1. Prepare and share an Excel sheet with detailed scenario analysis (as in Section 5) for Hidian.</w:t>
            </w:r>
          </w:p>
        </w:tc>
        <w:tc>
          <w:tcPr>
            <w:tcW w:w="1407" w:type="dxa"/>
            <w:tcBorders>
              <w:bottom w:val="single" w:sz="2" w:space="0" w:color="000000"/>
            </w:tcBorders>
            <w:vAlign w:val="center"/>
          </w:tcPr>
          <w:p>
            <w:pPr>
              <w:pStyle w:val="TableContents"/>
              <w:bidi w:val="0"/>
              <w:spacing w:lineRule="atLeast" w:line="375"/>
              <w:jc w:val="lef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Jyoti, Akhilesh</w:t>
            </w:r>
          </w:p>
        </w:tc>
        <w:tc>
          <w:tcPr>
            <w:tcW w:w="1057" w:type="dxa"/>
            <w:tcBorders>
              <w:bottom w:val="single" w:sz="2" w:space="0" w:color="000000"/>
            </w:tcBorders>
            <w:vAlign w:val="center"/>
          </w:tcPr>
          <w:p>
            <w:pPr>
              <w:pStyle w:val="TableContents"/>
              <w:bidi w:val="0"/>
              <w:spacing w:lineRule="atLeast" w:line="375"/>
              <w:jc w:val="lef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Pending</w:t>
            </w:r>
          </w:p>
        </w:tc>
      </w:tr>
      <w:tr>
        <w:trPr/>
        <w:tc>
          <w:tcPr>
            <w:tcW w:w="7174" w:type="dxa"/>
            <w:tcBorders>
              <w:bottom w:val="single" w:sz="2" w:space="0" w:color="000000"/>
            </w:tcBorders>
            <w:vAlign w:val="center"/>
          </w:tcPr>
          <w:p>
            <w:pPr>
              <w:pStyle w:val="TableContents"/>
              <w:bidi w:val="0"/>
              <w:spacing w:lineRule="atLeast" w:line="375"/>
              <w:jc w:val="lef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2. Schedule a review call with Hidian to align on the locking strategy and obtain sign-off.</w:t>
            </w:r>
          </w:p>
        </w:tc>
        <w:tc>
          <w:tcPr>
            <w:tcW w:w="1407" w:type="dxa"/>
            <w:tcBorders>
              <w:bottom w:val="single" w:sz="2" w:space="0" w:color="000000"/>
            </w:tcBorders>
            <w:vAlign w:val="center"/>
          </w:tcPr>
          <w:p>
            <w:pPr>
              <w:pStyle w:val="TableContents"/>
              <w:bidi w:val="0"/>
              <w:spacing w:lineRule="atLeast" w:line="375"/>
              <w:jc w:val="lef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Vaibhav</w:t>
            </w:r>
          </w:p>
        </w:tc>
        <w:tc>
          <w:tcPr>
            <w:tcW w:w="1057" w:type="dxa"/>
            <w:tcBorders>
              <w:bottom w:val="single" w:sz="2" w:space="0" w:color="000000"/>
            </w:tcBorders>
            <w:vAlign w:val="center"/>
          </w:tcPr>
          <w:p>
            <w:pPr>
              <w:pStyle w:val="TableContents"/>
              <w:bidi w:val="0"/>
              <w:spacing w:lineRule="atLeast" w:line="375"/>
              <w:jc w:val="lef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Pending</w:t>
            </w:r>
          </w:p>
        </w:tc>
      </w:tr>
      <w:tr>
        <w:trPr/>
        <w:tc>
          <w:tcPr>
            <w:tcW w:w="7174" w:type="dxa"/>
            <w:tcBorders>
              <w:bottom w:val="single" w:sz="2" w:space="0" w:color="000000"/>
            </w:tcBorders>
            <w:vAlign w:val="center"/>
          </w:tcPr>
          <w:p>
            <w:pPr>
              <w:pStyle w:val="TableContents"/>
              <w:bidi w:val="0"/>
              <w:spacing w:lineRule="atLeast" w:line="375"/>
              <w:jc w:val="lef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3. Based on Hidian's feedback, implement any changes to the locking logic (if required).</w:t>
            </w:r>
          </w:p>
        </w:tc>
        <w:tc>
          <w:tcPr>
            <w:tcW w:w="1407" w:type="dxa"/>
            <w:tcBorders>
              <w:bottom w:val="single" w:sz="2" w:space="0" w:color="000000"/>
            </w:tcBorders>
            <w:vAlign w:val="center"/>
          </w:tcPr>
          <w:p>
            <w:pPr>
              <w:pStyle w:val="TableContents"/>
              <w:bidi w:val="0"/>
              <w:spacing w:lineRule="atLeast" w:line="375"/>
              <w:jc w:val="lef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Jyoti</w:t>
            </w:r>
          </w:p>
        </w:tc>
        <w:tc>
          <w:tcPr>
            <w:tcW w:w="1057" w:type="dxa"/>
            <w:tcBorders>
              <w:bottom w:val="single" w:sz="2" w:space="0" w:color="000000"/>
            </w:tcBorders>
            <w:vAlign w:val="center"/>
          </w:tcPr>
          <w:p>
            <w:pPr>
              <w:pStyle w:val="TableContents"/>
              <w:bidi w:val="0"/>
              <w:spacing w:lineRule="atLeast" w:line="375"/>
              <w:jc w:val="lef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Pending</w:t>
            </w:r>
          </w:p>
        </w:tc>
      </w:tr>
      <w:tr>
        <w:trPr/>
        <w:tc>
          <w:tcPr>
            <w:tcW w:w="7174" w:type="dxa"/>
            <w:tcBorders>
              <w:bottom w:val="single" w:sz="2" w:space="0" w:color="000000"/>
            </w:tcBorders>
            <w:vAlign w:val="center"/>
          </w:tcPr>
          <w:p>
            <w:pPr>
              <w:pStyle w:val="TableContents"/>
              <w:bidi w:val="0"/>
              <w:spacing w:lineRule="atLeast" w:line="375"/>
              <w:jc w:val="lef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4. Collect production-like test data and finalize JMeter scripts for performance testing.</w:t>
            </w:r>
          </w:p>
        </w:tc>
        <w:tc>
          <w:tcPr>
            <w:tcW w:w="1407" w:type="dxa"/>
            <w:tcBorders>
              <w:bottom w:val="single" w:sz="2" w:space="0" w:color="000000"/>
            </w:tcBorders>
            <w:vAlign w:val="center"/>
          </w:tcPr>
          <w:p>
            <w:pPr>
              <w:pStyle w:val="TableContents"/>
              <w:bidi w:val="0"/>
              <w:spacing w:lineRule="atLeast" w:line="375"/>
              <w:jc w:val="lef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Jyoti</w:t>
            </w:r>
          </w:p>
        </w:tc>
        <w:tc>
          <w:tcPr>
            <w:tcW w:w="1057" w:type="dxa"/>
            <w:tcBorders>
              <w:bottom w:val="single" w:sz="2" w:space="0" w:color="000000"/>
            </w:tcBorders>
            <w:vAlign w:val="center"/>
          </w:tcPr>
          <w:p>
            <w:pPr>
              <w:pStyle w:val="TableContents"/>
              <w:bidi w:val="0"/>
              <w:spacing w:lineRule="atLeast" w:line="375"/>
              <w:jc w:val="lef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Pending</w:t>
            </w:r>
          </w:p>
        </w:tc>
      </w:tr>
      <w:tr>
        <w:trPr/>
        <w:tc>
          <w:tcPr>
            <w:tcW w:w="7174" w:type="dxa"/>
            <w:tcBorders>
              <w:bottom w:val="single" w:sz="2" w:space="0" w:color="000000"/>
            </w:tcBorders>
            <w:vAlign w:val="center"/>
          </w:tcPr>
          <w:p>
            <w:pPr>
              <w:pStyle w:val="TableContents"/>
              <w:bidi w:val="0"/>
              <w:spacing w:lineRule="atLeast" w:line="375"/>
              <w:jc w:val="lef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5. Execute performance tests and validate results against NFRs.</w:t>
            </w:r>
          </w:p>
        </w:tc>
        <w:tc>
          <w:tcPr>
            <w:tcW w:w="1407" w:type="dxa"/>
            <w:tcBorders>
              <w:bottom w:val="single" w:sz="2" w:space="0" w:color="000000"/>
            </w:tcBorders>
            <w:vAlign w:val="center"/>
          </w:tcPr>
          <w:p>
            <w:pPr>
              <w:pStyle w:val="TableContents"/>
              <w:bidi w:val="0"/>
              <w:spacing w:lineRule="atLeast" w:line="375"/>
              <w:jc w:val="lef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Jyoti</w:t>
            </w:r>
          </w:p>
        </w:tc>
        <w:tc>
          <w:tcPr>
            <w:tcW w:w="1057" w:type="dxa"/>
            <w:tcBorders>
              <w:bottom w:val="single" w:sz="2" w:space="0" w:color="000000"/>
            </w:tcBorders>
            <w:vAlign w:val="center"/>
          </w:tcPr>
          <w:p>
            <w:pPr>
              <w:pStyle w:val="TableContents"/>
              <w:bidi w:val="0"/>
              <w:spacing w:lineRule="atLeast" w:line="375"/>
              <w:jc w:val="lef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sz w:val="23"/>
              </w:rPr>
              <w:t>Pending</w:t>
            </w:r>
          </w:p>
        </w:tc>
      </w:tr>
    </w:tbl>
    <w:p>
      <w:pPr>
        <w:pStyle w:val="TextBody"/>
        <w:bidi w:val="0"/>
        <w:spacing w:before="0" w:after="140"/>
        <w:jc w:val="left"/>
        <w:rPr>
          <w:rStyle w:val="StrongEmphasis"/>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30"/>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2"/>
    <w:family w:val="auto"/>
    <w:pitch w:val="default"/>
  </w:font>
  <w:font w:name="Liberation Mono">
    <w:altName w:val="Courier New"/>
    <w:charset w:val="01"/>
    <w:family w:val="modern"/>
    <w:pitch w:val="fixed"/>
  </w:font>
  <w:font w:name="Liberation Sans">
    <w:altName w:val="Arial"/>
    <w:charset w:val="01"/>
    <w:family w:val="swiss"/>
    <w:pitch w:val="variable"/>
  </w:font>
  <w:font w:name="quote-cjk-patch">
    <w:altName w:val="Inter"/>
    <w:charset w:val="01"/>
    <w:family w:val="auto"/>
    <w:pitch w:val="default"/>
  </w:font>
  <w:font w:name="Menlo">
    <w:altName w:val="Monaco"/>
    <w:charset w:val="01"/>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suff w:val="nothing"/>
      <w:lvlText w:val=""/>
      <w:lvlJc w:val="left"/>
      <w:pPr>
        <w:tabs>
          <w:tab w:val="num" w:pos="0"/>
        </w:tabs>
        <w:ind w:left="0"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decimal"/>
      <w:suff w:val="nothing"/>
      <w:lvlText w:val="%1."/>
      <w:lvlJc w:val="left"/>
      <w:pPr>
        <w:tabs>
          <w:tab w:val="num" w:pos="0"/>
        </w:tabs>
        <w:ind w:left="0" w:hanging="0"/>
      </w:pPr>
      <w:rPr/>
    </w:lvl>
    <w:lvl w:ilvl="1">
      <w:start w:val="1"/>
      <w:numFmt w:val="bullet"/>
      <w:suff w:val="nothing"/>
      <w:lvlText w:val=""/>
      <w:lvlJc w:val="left"/>
      <w:pPr>
        <w:tabs>
          <w:tab w:val="num" w:pos="0"/>
        </w:tabs>
        <w:ind w:left="0" w:hanging="0"/>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decimal"/>
      <w:suff w:val="nothing"/>
      <w:lvlText w:val="%1."/>
      <w:lvlJc w:val="left"/>
      <w:pPr>
        <w:tabs>
          <w:tab w:val="num" w:pos="0"/>
        </w:tabs>
        <w:ind w:left="0" w:hanging="0"/>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4">
    <w:lvl w:ilvl="0">
      <w:start w:val="1"/>
      <w:numFmt w:val="bullet"/>
      <w:suff w:val="nothing"/>
      <w:lvlText w:val=""/>
      <w:lvlJc w:val="left"/>
      <w:pPr>
        <w:tabs>
          <w:tab w:val="num" w:pos="0"/>
        </w:tabs>
        <w:ind w:left="0"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suff w:val="nothing"/>
      <w:lvlText w:val=""/>
      <w:lvlJc w:val="left"/>
      <w:pPr>
        <w:tabs>
          <w:tab w:val="num" w:pos="0"/>
        </w:tabs>
        <w:ind w:left="0" w:hanging="0"/>
      </w:pPr>
      <w:rPr>
        <w:rFonts w:ascii="Symbol" w:hAnsi="Symbol" w:cs="Symbol" w:hint="default"/>
      </w:rPr>
    </w:lvl>
    <w:lvl w:ilvl="1">
      <w:start w:val="1"/>
      <w:numFmt w:val="bullet"/>
      <w:suff w:val="nothing"/>
      <w:lvlText w:val=""/>
      <w:lvlJc w:val="left"/>
      <w:pPr>
        <w:tabs>
          <w:tab w:val="num" w:pos="0"/>
        </w:tabs>
        <w:ind w:left="0" w:hanging="0"/>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decimal"/>
      <w:suff w:val="nothing"/>
      <w:lvlText w:val="%1."/>
      <w:lvlJc w:val="left"/>
      <w:pPr>
        <w:tabs>
          <w:tab w:val="num" w:pos="0"/>
        </w:tabs>
        <w:ind w:left="0" w:hanging="0"/>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pStyle w:val="Heading4"/>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6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en-IN"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Lohit Devanagari"/>
      <w:color w:val="auto"/>
      <w:kern w:val="2"/>
      <w:sz w:val="24"/>
      <w:szCs w:val="24"/>
      <w:lang w:val="en-IN" w:eastAsia="zh-CN" w:bidi="hi-IN"/>
    </w:rPr>
  </w:style>
  <w:style w:type="paragraph" w:styleId="Heading3">
    <w:name w:val="Heading 3"/>
    <w:basedOn w:val="Heading"/>
    <w:next w:val="TextBody"/>
    <w:qFormat/>
    <w:pPr>
      <w:spacing w:before="140" w:after="120"/>
      <w:outlineLvl w:val="2"/>
    </w:pPr>
    <w:rPr>
      <w:rFonts w:ascii="Liberation Serif" w:hAnsi="Liberation Serif" w:eastAsia="Noto Serif CJK SC" w:cs="Lohit Devanagari"/>
      <w:b/>
      <w:bCs/>
      <w:sz w:val="28"/>
      <w:szCs w:val="28"/>
    </w:rPr>
  </w:style>
  <w:style w:type="paragraph" w:styleId="Heading4">
    <w:name w:val="Heading 4"/>
    <w:basedOn w:val="Heading"/>
    <w:next w:val="TextBody"/>
    <w:qFormat/>
    <w:pPr>
      <w:spacing w:before="120" w:after="120"/>
      <w:outlineLvl w:val="3"/>
    </w:pPr>
    <w:rPr>
      <w:rFonts w:ascii="Liberation Serif" w:hAnsi="Liberation Serif" w:eastAsia="Noto Serif CJK SC" w:cs="Lohit Devanagari"/>
      <w:b/>
      <w:bCs/>
      <w:sz w:val="24"/>
      <w:szCs w:val="24"/>
    </w:rPr>
  </w:style>
  <w:style w:type="character" w:styleId="StrongEmphasis">
    <w:name w:val="Strong Emphasis"/>
    <w:qFormat/>
    <w:rPr>
      <w:b/>
      <w:bCs/>
    </w:rPr>
  </w:style>
  <w:style w:type="character" w:styleId="Bullets">
    <w:name w:val="Bullets"/>
    <w:qFormat/>
    <w:rPr>
      <w:rFonts w:ascii="OpenSymbol" w:hAnsi="OpenSymbol" w:eastAsia="OpenSymbol" w:cs="OpenSymbol"/>
    </w:rPr>
  </w:style>
  <w:style w:type="character" w:styleId="NumberingSymbols">
    <w:name w:val="Numbering Symbols"/>
    <w:qFormat/>
    <w:rPr/>
  </w:style>
  <w:style w:type="character" w:styleId="SourceText">
    <w:name w:val="Source Text"/>
    <w:qFormat/>
    <w:rPr>
      <w:rFonts w:ascii="Liberation Mono" w:hAnsi="Liberation Mono" w:eastAsia="Noto Sans Mono CJK SC" w:cs="Liberation Mono"/>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orizontalLine">
    <w:name w:val="Horizontal Line"/>
    <w:basedOn w:val="Normal"/>
    <w:next w:val="TextBody"/>
    <w:qFormat/>
    <w:pPr>
      <w:suppressLineNumbers/>
      <w:pBdr>
        <w:bottom w:val="double" w:sz="2" w:space="0" w:color="808080"/>
      </w:pBdr>
      <w:spacing w:before="0" w:after="283"/>
    </w:pPr>
    <w:rPr>
      <w:sz w:val="12"/>
      <w:szCs w:val="12"/>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3</TotalTime>
  <Application>LibreOffice/7.3.7.2$Linux_X86_64 LibreOffice_project/30$Build-2</Application>
  <AppVersion>15.0000</AppVersion>
  <Pages>10</Pages>
  <Words>1127</Words>
  <Characters>6061</Characters>
  <CharactersWithSpaces>7035</CharactersWithSpaces>
  <Paragraphs>127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2025-11-01T17:53:11Z</dcterms:created>
  <dc:creator/>
  <dc:description/>
  <dc:language>en-IN</dc:language>
  <cp:lastModifiedBy/>
  <dcterms:modified xsi:type="dcterms:W3CDTF">2025-11-01T18:06:50Z</dcterms:modified>
  <cp:revision>2</cp:revision>
  <dc:subject/>
  <dc:title/>
</cp:coreProperties>
</file>