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AMENDMENT NO. 2 TO MASTER SERVICES AGREEMENT</w:t>
      </w:r>
    </w:p>
    <w:p/>
    <w:p>
      <w:r>
        <w:t>Parties: Acme Industrial Supply Ltd and Northwind Trading Co</w:t>
      </w:r>
    </w:p>
    <w:p>
      <w:r>
        <w:t>Effective date: 1 January 2025</w:t>
      </w:r>
    </w:p>
    <w:p/>
    <w:p>
      <w:r>
        <w:t>1. LIABILITY CAP</w:t>
      </w:r>
    </w:p>
    <w:p>
      <w:r>
        <w:t>The liability cap in Section 5 is raised to GBP 250,000.</w:t>
      </w:r>
    </w:p>
    <w:p/>
    <w:p>
      <w:r>
        <w:t>2. PAYMENT TERMS</w:t>
      </w:r>
    </w:p>
    <w:p>
      <w:r>
        <w:t>Payment terms are unchanged and remain Net 45 days from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