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Q1 2026 Financial &amp; Operations Report</w:t>
      </w:r>
    </w:p>
    <w:p>
      <w:r>
        <w:t>In Q1 2026, total company revenue was $4.85 Million USD, driven by strong adoption of Project Titan.</w:t>
      </w:r>
    </w:p>
    <w:p>
      <w:pPr>
        <w:pStyle w:val="Heading2"/>
      </w:pPr>
      <w:r>
        <w:t>Expense Breakdown</w:t>
      </w:r>
    </w:p>
    <w:p>
      <w:r>
        <w:t>The largest expense increase in Q1 2026 was caused by purchasing local GPU servers ($620,000) for the Mumbai BOM-DC04 facility.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