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228A2" w14:textId="77D607AE" w:rsidR="00570AF7" w:rsidRPr="00183ABB" w:rsidRDefault="00570AF7" w:rsidP="00183ABB">
      <w:pPr>
        <w:spacing w:line="360" w:lineRule="auto"/>
        <w:rPr>
          <w:rFonts w:ascii="Times New Roman" w:hAnsi="Times New Roman" w:cs="Times New Roman"/>
        </w:rPr>
      </w:pPr>
      <w:r w:rsidRPr="00183ABB">
        <w:rPr>
          <w:rFonts w:ascii="Times New Roman" w:hAnsi="Times New Roman" w:cs="Times New Roman"/>
        </w:rPr>
        <w:t xml:space="preserve">The Moral </w:t>
      </w:r>
      <w:proofErr w:type="spellStart"/>
      <w:r w:rsidRPr="00183ABB">
        <w:rPr>
          <w:rFonts w:ascii="Times New Roman" w:hAnsi="Times New Roman" w:cs="Times New Roman"/>
        </w:rPr>
        <w:t>Dilemas</w:t>
      </w:r>
      <w:proofErr w:type="spellEnd"/>
      <w:r w:rsidRPr="00183ABB">
        <w:rPr>
          <w:rFonts w:ascii="Times New Roman" w:hAnsi="Times New Roman" w:cs="Times New Roman"/>
        </w:rPr>
        <w:t xml:space="preserve"> of Historians – </w:t>
      </w:r>
      <w:proofErr w:type="spellStart"/>
      <w:r w:rsidRPr="00183ABB">
        <w:rPr>
          <w:rFonts w:ascii="Times New Roman" w:hAnsi="Times New Roman" w:cs="Times New Roman"/>
        </w:rPr>
        <w:t>JYRoig</w:t>
      </w:r>
      <w:proofErr w:type="spellEnd"/>
      <w:r w:rsidRPr="00183ABB">
        <w:rPr>
          <w:rFonts w:ascii="Times New Roman" w:hAnsi="Times New Roman" w:cs="Times New Roman"/>
        </w:rPr>
        <w:t xml:space="preserve"> </w:t>
      </w:r>
    </w:p>
    <w:p w14:paraId="0C86E11D" w14:textId="7098A194" w:rsidR="00570AF7" w:rsidRPr="00183ABB" w:rsidRDefault="00570AF7" w:rsidP="00183ABB">
      <w:pPr>
        <w:spacing w:line="360" w:lineRule="auto"/>
        <w:ind w:firstLine="720"/>
        <w:rPr>
          <w:rFonts w:ascii="Times New Roman" w:hAnsi="Times New Roman" w:cs="Times New Roman"/>
        </w:rPr>
      </w:pPr>
      <w:r w:rsidRPr="00183ABB">
        <w:rPr>
          <w:rFonts w:ascii="Times New Roman" w:hAnsi="Times New Roman" w:cs="Times New Roman"/>
        </w:rPr>
        <w:t>History has</w:t>
      </w:r>
      <w:r w:rsidR="00AD2E10" w:rsidRPr="00183ABB">
        <w:rPr>
          <w:rFonts w:ascii="Times New Roman" w:hAnsi="Times New Roman" w:cs="Times New Roman"/>
        </w:rPr>
        <w:t xml:space="preserve"> always</w:t>
      </w:r>
      <w:r w:rsidRPr="00183ABB">
        <w:rPr>
          <w:rFonts w:ascii="Times New Roman" w:hAnsi="Times New Roman" w:cs="Times New Roman"/>
        </w:rPr>
        <w:t xml:space="preserve"> interacted with politics, especially when constructing text books.</w:t>
      </w:r>
      <w:bookmarkStart w:id="0" w:name="_Ref177287359"/>
      <w:r w:rsidR="00154037" w:rsidRPr="00183ABB">
        <w:rPr>
          <w:rStyle w:val="EndnoteReference"/>
          <w:rFonts w:ascii="Times New Roman" w:hAnsi="Times New Roman" w:cs="Times New Roman"/>
        </w:rPr>
        <w:endnoteReference w:id="1"/>
      </w:r>
      <w:bookmarkEnd w:id="0"/>
      <w:r w:rsidR="00154037" w:rsidRPr="00183ABB">
        <w:rPr>
          <w:rFonts w:ascii="Times New Roman" w:hAnsi="Times New Roman" w:cs="Times New Roman"/>
        </w:rPr>
        <w:t xml:space="preserve"> However</w:t>
      </w:r>
      <w:r w:rsidR="00154037" w:rsidRPr="00183ABB">
        <w:rPr>
          <w:rFonts w:ascii="Times New Roman" w:hAnsi="Times New Roman" w:cs="Times New Roman"/>
        </w:rPr>
        <w:t xml:space="preserve">, </w:t>
      </w:r>
      <w:r w:rsidR="00154037" w:rsidRPr="00183ABB">
        <w:rPr>
          <w:rFonts w:ascii="Times New Roman" w:hAnsi="Times New Roman" w:cs="Times New Roman"/>
        </w:rPr>
        <w:t>nowadays</w:t>
      </w:r>
      <w:r w:rsidR="00154037" w:rsidRPr="00183ABB">
        <w:rPr>
          <w:rFonts w:ascii="Times New Roman" w:hAnsi="Times New Roman" w:cs="Times New Roman"/>
        </w:rPr>
        <w:t xml:space="preserve">, </w:t>
      </w:r>
      <w:r w:rsidR="00154037" w:rsidRPr="00183ABB">
        <w:rPr>
          <w:rFonts w:ascii="Times New Roman" w:hAnsi="Times New Roman" w:cs="Times New Roman"/>
        </w:rPr>
        <w:t>the interaction has become ever more stark</w:t>
      </w:r>
      <w:r w:rsidR="00154037" w:rsidRPr="00183ABB">
        <w:rPr>
          <w:rFonts w:ascii="Times New Roman" w:hAnsi="Times New Roman" w:cs="Times New Roman"/>
        </w:rPr>
        <w:t>. Particularly,</w:t>
      </w:r>
      <w:r w:rsidR="00154037" w:rsidRPr="00183ABB">
        <w:rPr>
          <w:rFonts w:ascii="Times New Roman" w:hAnsi="Times New Roman" w:cs="Times New Roman"/>
        </w:rPr>
        <w:t xml:space="preserve"> under the Trump presidency</w:t>
      </w:r>
      <w:r w:rsidR="00154037" w:rsidRPr="00183ABB">
        <w:rPr>
          <w:rFonts w:ascii="Times New Roman" w:hAnsi="Times New Roman" w:cs="Times New Roman"/>
        </w:rPr>
        <w:t>, t</w:t>
      </w:r>
      <w:r w:rsidR="00154037" w:rsidRPr="00183ABB">
        <w:rPr>
          <w:rFonts w:ascii="Times New Roman" w:hAnsi="Times New Roman" w:cs="Times New Roman"/>
        </w:rPr>
        <w:t>he field of history has become a battleground. This is exemplified by the 1766 project that Trump championed. A response to the 1619 project, the 1766 project aimed to provide a "patriotic education".</w:t>
      </w:r>
      <w:r w:rsidR="00154037" w:rsidRPr="00183ABB">
        <w:rPr>
          <w:rStyle w:val="EndnoteReference"/>
          <w:rFonts w:ascii="Times New Roman" w:hAnsi="Times New Roman" w:cs="Times New Roman"/>
        </w:rPr>
        <w:endnoteReference w:id="2"/>
      </w:r>
      <w:r w:rsidR="00154037" w:rsidRPr="00183ABB">
        <w:rPr>
          <w:rFonts w:ascii="Times New Roman" w:hAnsi="Times New Roman" w:cs="Times New Roman"/>
        </w:rPr>
        <w:t xml:space="preserve"> The publishing and endorsement of the 1766 project demonstrates the politicization of history</w:t>
      </w:r>
      <w:r w:rsidR="00154037" w:rsidRPr="00183ABB">
        <w:rPr>
          <w:rFonts w:ascii="Times New Roman" w:hAnsi="Times New Roman" w:cs="Times New Roman"/>
        </w:rPr>
        <w:t xml:space="preserve">. </w:t>
      </w:r>
      <w:r w:rsidR="00881439">
        <w:rPr>
          <w:rFonts w:ascii="Times New Roman" w:hAnsi="Times New Roman" w:cs="Times New Roman"/>
        </w:rPr>
        <w:t>Although</w:t>
      </w:r>
      <w:r w:rsidR="00154037" w:rsidRPr="00183ABB">
        <w:rPr>
          <w:rFonts w:ascii="Times New Roman" w:hAnsi="Times New Roman" w:cs="Times New Roman"/>
        </w:rPr>
        <w:t xml:space="preserve"> the 1766 project was not written by historians, </w:t>
      </w:r>
      <w:r w:rsidR="00881439">
        <w:rPr>
          <w:rFonts w:ascii="Times New Roman" w:hAnsi="Times New Roman" w:cs="Times New Roman"/>
        </w:rPr>
        <w:t xml:space="preserve">it was </w:t>
      </w:r>
      <w:r w:rsidR="00154037" w:rsidRPr="00183ABB">
        <w:rPr>
          <w:rFonts w:ascii="Times New Roman" w:hAnsi="Times New Roman" w:cs="Times New Roman"/>
        </w:rPr>
        <w:t xml:space="preserve">immediately denounced </w:t>
      </w:r>
      <w:r w:rsidR="00881439">
        <w:rPr>
          <w:rFonts w:ascii="Times New Roman" w:hAnsi="Times New Roman" w:cs="Times New Roman"/>
        </w:rPr>
        <w:t>by them</w:t>
      </w:r>
      <w:r w:rsidR="00154037" w:rsidRPr="00183ABB">
        <w:rPr>
          <w:rFonts w:ascii="Times New Roman" w:hAnsi="Times New Roman" w:cs="Times New Roman"/>
        </w:rPr>
        <w:t>.</w:t>
      </w:r>
      <w:r w:rsidR="00154037" w:rsidRPr="00183ABB">
        <w:rPr>
          <w:rStyle w:val="EndnoteReference"/>
          <w:rFonts w:ascii="Times New Roman" w:hAnsi="Times New Roman" w:cs="Times New Roman"/>
        </w:rPr>
        <w:endnoteReference w:id="3"/>
      </w:r>
      <w:r w:rsidR="00154037" w:rsidRPr="00183ABB">
        <w:rPr>
          <w:rFonts w:ascii="Times New Roman" w:hAnsi="Times New Roman" w:cs="Times New Roman"/>
        </w:rPr>
        <w:t xml:space="preserve"> This </w:t>
      </w:r>
      <w:r w:rsidR="00881439">
        <w:rPr>
          <w:rFonts w:ascii="Times New Roman" w:hAnsi="Times New Roman" w:cs="Times New Roman"/>
        </w:rPr>
        <w:t>pub</w:t>
      </w:r>
      <w:r w:rsidR="00A44BE3">
        <w:rPr>
          <w:rFonts w:ascii="Times New Roman" w:hAnsi="Times New Roman" w:cs="Times New Roman"/>
        </w:rPr>
        <w:t>l</w:t>
      </w:r>
      <w:r w:rsidR="00881439">
        <w:rPr>
          <w:rFonts w:ascii="Times New Roman" w:hAnsi="Times New Roman" w:cs="Times New Roman"/>
        </w:rPr>
        <w:t xml:space="preserve">ic rejection of the project </w:t>
      </w:r>
      <w:r w:rsidR="00154037" w:rsidRPr="00183ABB">
        <w:rPr>
          <w:rFonts w:ascii="Times New Roman" w:hAnsi="Times New Roman" w:cs="Times New Roman"/>
        </w:rPr>
        <w:t>demonstrates a common attitude among the field</w:t>
      </w:r>
      <w:r w:rsidR="00154037" w:rsidRPr="00183ABB">
        <w:rPr>
          <w:rFonts w:ascii="Times New Roman" w:hAnsi="Times New Roman" w:cs="Times New Roman"/>
        </w:rPr>
        <w:t xml:space="preserve">; </w:t>
      </w:r>
      <w:r w:rsidR="00154037" w:rsidRPr="00183ABB">
        <w:rPr>
          <w:rFonts w:ascii="Times New Roman" w:hAnsi="Times New Roman" w:cs="Times New Roman"/>
        </w:rPr>
        <w:t xml:space="preserve">there is a social responsibility to combat misinformation. </w:t>
      </w:r>
      <w:r w:rsidR="00154037" w:rsidRPr="00183ABB">
        <w:rPr>
          <w:rFonts w:ascii="Times New Roman" w:hAnsi="Times New Roman" w:cs="Times New Roman"/>
        </w:rPr>
        <w:t>Another issue with misinformation is its presence amongst the public</w:t>
      </w:r>
      <w:r w:rsidR="00154037" w:rsidRPr="00183ABB">
        <w:rPr>
          <w:rFonts w:ascii="Times New Roman" w:hAnsi="Times New Roman" w:cs="Times New Roman"/>
        </w:rPr>
        <w:t>. The example of Charlottesville is one of the most blatant</w:t>
      </w:r>
      <w:r w:rsidR="00154037" w:rsidRPr="00183ABB">
        <w:rPr>
          <w:rFonts w:ascii="Times New Roman" w:hAnsi="Times New Roman" w:cs="Times New Roman"/>
        </w:rPr>
        <w:t>,</w:t>
      </w:r>
      <w:r w:rsidR="00154037" w:rsidRPr="00183ABB">
        <w:rPr>
          <w:rFonts w:ascii="Times New Roman" w:hAnsi="Times New Roman" w:cs="Times New Roman"/>
        </w:rPr>
        <w:t xml:space="preserve"> however less </w:t>
      </w:r>
      <w:r w:rsidR="00154037" w:rsidRPr="00183ABB">
        <w:rPr>
          <w:rFonts w:ascii="Times New Roman" w:hAnsi="Times New Roman" w:cs="Times New Roman"/>
        </w:rPr>
        <w:t xml:space="preserve">overt </w:t>
      </w:r>
      <w:r w:rsidR="00154037" w:rsidRPr="00183ABB">
        <w:rPr>
          <w:rFonts w:ascii="Times New Roman" w:hAnsi="Times New Roman" w:cs="Times New Roman"/>
        </w:rPr>
        <w:t xml:space="preserve">examples abound. A more innocuous example would be the current discourse around traditional gender roles, with republicans harkening to a perceived past where women were subservient and </w:t>
      </w:r>
      <w:r w:rsidR="00154037" w:rsidRPr="00183ABB">
        <w:rPr>
          <w:rFonts w:ascii="Times New Roman" w:hAnsi="Times New Roman" w:cs="Times New Roman"/>
        </w:rPr>
        <w:t xml:space="preserve">then </w:t>
      </w:r>
      <w:r w:rsidR="00154037" w:rsidRPr="00183ABB">
        <w:rPr>
          <w:rFonts w:ascii="Times New Roman" w:hAnsi="Times New Roman" w:cs="Times New Roman"/>
        </w:rPr>
        <w:t xml:space="preserve">projecting </w:t>
      </w:r>
      <w:r w:rsidR="00154037" w:rsidRPr="00183ABB">
        <w:rPr>
          <w:rFonts w:ascii="Times New Roman" w:hAnsi="Times New Roman" w:cs="Times New Roman"/>
        </w:rPr>
        <w:t>their preconceptions</w:t>
      </w:r>
      <w:r w:rsidR="00154037" w:rsidRPr="00183ABB">
        <w:rPr>
          <w:rFonts w:ascii="Times New Roman" w:hAnsi="Times New Roman" w:cs="Times New Roman"/>
        </w:rPr>
        <w:t xml:space="preserve"> into the far past. However historical findings indicate that traditional gender roles regarding family are a relatively new phenomena, as seen with </w:t>
      </w:r>
      <w:r w:rsidR="00154037" w:rsidRPr="00183ABB">
        <w:rPr>
          <w:rFonts w:ascii="Times New Roman" w:hAnsi="Times New Roman" w:cs="Times New Roman"/>
        </w:rPr>
        <w:t xml:space="preserve">professions like </w:t>
      </w:r>
      <w:r w:rsidR="00154037" w:rsidRPr="00183ABB">
        <w:rPr>
          <w:rFonts w:ascii="Times New Roman" w:hAnsi="Times New Roman" w:cs="Times New Roman"/>
        </w:rPr>
        <w:t>brewing</w:t>
      </w:r>
      <w:r w:rsidR="00154037" w:rsidRPr="00183ABB">
        <w:rPr>
          <w:rStyle w:val="EndnoteReference"/>
          <w:rFonts w:ascii="Times New Roman" w:hAnsi="Times New Roman" w:cs="Times New Roman"/>
        </w:rPr>
        <w:endnoteReference w:id="4"/>
      </w:r>
      <w:r w:rsidR="00154037" w:rsidRPr="00183ABB">
        <w:rPr>
          <w:rFonts w:ascii="Times New Roman" w:hAnsi="Times New Roman" w:cs="Times New Roman"/>
        </w:rPr>
        <w:t xml:space="preserve"> and farming.</w:t>
      </w:r>
      <w:r w:rsidR="00154037" w:rsidRPr="00183ABB">
        <w:rPr>
          <w:rStyle w:val="EndnoteReference"/>
          <w:rFonts w:ascii="Times New Roman" w:hAnsi="Times New Roman" w:cs="Times New Roman"/>
        </w:rPr>
        <w:endnoteReference w:id="5"/>
      </w:r>
      <w:r w:rsidR="00154037" w:rsidRPr="00183ABB">
        <w:rPr>
          <w:rFonts w:ascii="Times New Roman" w:hAnsi="Times New Roman" w:cs="Times New Roman"/>
        </w:rPr>
        <w:t xml:space="preserve"> </w:t>
      </w:r>
      <w:r w:rsidRPr="00183ABB">
        <w:rPr>
          <w:rFonts w:ascii="Times New Roman" w:hAnsi="Times New Roman" w:cs="Times New Roman"/>
        </w:rPr>
        <w:t>The next issue</w:t>
      </w:r>
      <w:r w:rsidR="00756384" w:rsidRPr="00183ABB">
        <w:rPr>
          <w:rFonts w:ascii="Times New Roman" w:hAnsi="Times New Roman" w:cs="Times New Roman"/>
        </w:rPr>
        <w:t>,</w:t>
      </w:r>
      <w:r w:rsidRPr="00183ABB">
        <w:rPr>
          <w:rFonts w:ascii="Times New Roman" w:hAnsi="Times New Roman" w:cs="Times New Roman"/>
        </w:rPr>
        <w:t xml:space="preserve"> which is related closely with lying</w:t>
      </w:r>
      <w:r w:rsidR="00756384" w:rsidRPr="00183ABB">
        <w:rPr>
          <w:rFonts w:ascii="Times New Roman" w:hAnsi="Times New Roman" w:cs="Times New Roman"/>
        </w:rPr>
        <w:t>,</w:t>
      </w:r>
      <w:r w:rsidRPr="00183ABB">
        <w:rPr>
          <w:rFonts w:ascii="Times New Roman" w:hAnsi="Times New Roman" w:cs="Times New Roman"/>
        </w:rPr>
        <w:t xml:space="preserve"> is the </w:t>
      </w:r>
      <w:r w:rsidR="00756384" w:rsidRPr="00183ABB">
        <w:rPr>
          <w:rFonts w:ascii="Times New Roman" w:hAnsi="Times New Roman" w:cs="Times New Roman"/>
        </w:rPr>
        <w:t>discourse surrounding</w:t>
      </w:r>
      <w:r w:rsidRPr="00183ABB">
        <w:rPr>
          <w:rFonts w:ascii="Times New Roman" w:hAnsi="Times New Roman" w:cs="Times New Roman"/>
        </w:rPr>
        <w:t xml:space="preserve"> Holocaust denial.</w:t>
      </w:r>
      <w:r w:rsidR="00154037" w:rsidRPr="00183ABB">
        <w:rPr>
          <w:rFonts w:ascii="Times New Roman" w:hAnsi="Times New Roman" w:cs="Times New Roman"/>
        </w:rPr>
        <w:fldChar w:fldCharType="begin"/>
      </w:r>
      <w:r w:rsidR="00154037" w:rsidRPr="00183ABB">
        <w:rPr>
          <w:rFonts w:ascii="Times New Roman" w:hAnsi="Times New Roman" w:cs="Times New Roman"/>
        </w:rPr>
        <w:instrText xml:space="preserve"> NOTEREF _Ref177287359 \f \h </w:instrText>
      </w:r>
      <w:r w:rsidR="00154037" w:rsidRPr="00183ABB">
        <w:rPr>
          <w:rFonts w:ascii="Times New Roman" w:hAnsi="Times New Roman" w:cs="Times New Roman"/>
        </w:rPr>
      </w:r>
      <w:r w:rsidR="00183ABB">
        <w:rPr>
          <w:rFonts w:ascii="Times New Roman" w:hAnsi="Times New Roman" w:cs="Times New Roman"/>
        </w:rPr>
        <w:instrText xml:space="preserve"> \* MERGEFORMAT </w:instrText>
      </w:r>
      <w:r w:rsidR="00154037" w:rsidRPr="00183ABB">
        <w:rPr>
          <w:rFonts w:ascii="Times New Roman" w:hAnsi="Times New Roman" w:cs="Times New Roman"/>
        </w:rPr>
        <w:fldChar w:fldCharType="separate"/>
      </w:r>
      <w:r w:rsidR="00154037" w:rsidRPr="00183ABB">
        <w:rPr>
          <w:rStyle w:val="FootnoteReference"/>
          <w:rFonts w:ascii="Times New Roman" w:hAnsi="Times New Roman" w:cs="Times New Roman"/>
        </w:rPr>
        <w:t>1</w:t>
      </w:r>
      <w:r w:rsidR="00154037" w:rsidRPr="00183ABB">
        <w:rPr>
          <w:rFonts w:ascii="Times New Roman" w:hAnsi="Times New Roman" w:cs="Times New Roman"/>
        </w:rPr>
        <w:fldChar w:fldCharType="end"/>
      </w:r>
      <w:r w:rsidR="00154037" w:rsidRPr="00183ABB">
        <w:rPr>
          <w:rFonts w:ascii="Times New Roman" w:hAnsi="Times New Roman" w:cs="Times New Roman"/>
        </w:rPr>
        <w:t xml:space="preserve"> </w:t>
      </w:r>
      <w:r w:rsidRPr="00183ABB">
        <w:rPr>
          <w:rFonts w:ascii="Times New Roman" w:hAnsi="Times New Roman" w:cs="Times New Roman"/>
        </w:rPr>
        <w:t xml:space="preserve">The current debate with the </w:t>
      </w:r>
      <w:proofErr w:type="spellStart"/>
      <w:r w:rsidRPr="00183ABB">
        <w:rPr>
          <w:rFonts w:ascii="Times New Roman" w:hAnsi="Times New Roman" w:cs="Times New Roman"/>
        </w:rPr>
        <w:t>AfD</w:t>
      </w:r>
      <w:proofErr w:type="spellEnd"/>
      <w:r w:rsidRPr="00183ABB">
        <w:rPr>
          <w:rFonts w:ascii="Times New Roman" w:hAnsi="Times New Roman" w:cs="Times New Roman"/>
        </w:rPr>
        <w:t xml:space="preserve"> in Germany posits an interesting dilemma and a possible failure on the part of historians. A failure to properly communicate with both the politicians and public. </w:t>
      </w:r>
    </w:p>
    <w:p w14:paraId="2D76C26B" w14:textId="79DBE2FE" w:rsidR="00570AF7" w:rsidRPr="00183ABB" w:rsidRDefault="005F41DE" w:rsidP="00183ABB">
      <w:pPr>
        <w:spacing w:line="360" w:lineRule="auto"/>
        <w:rPr>
          <w:rFonts w:ascii="Times New Roman" w:hAnsi="Times New Roman" w:cs="Times New Roman"/>
        </w:rPr>
      </w:pPr>
      <w:r w:rsidRPr="00183ABB">
        <w:rPr>
          <w:rFonts w:ascii="Times New Roman" w:hAnsi="Times New Roman" w:cs="Times New Roman"/>
        </w:rPr>
        <w:t>However,</w:t>
      </w:r>
      <w:r w:rsidR="00570AF7" w:rsidRPr="00183ABB">
        <w:rPr>
          <w:rFonts w:ascii="Times New Roman" w:hAnsi="Times New Roman" w:cs="Times New Roman"/>
        </w:rPr>
        <w:t xml:space="preserve"> this is a task with many </w:t>
      </w:r>
      <w:r w:rsidRPr="00183ABB">
        <w:rPr>
          <w:rFonts w:ascii="Times New Roman" w:hAnsi="Times New Roman" w:cs="Times New Roman"/>
        </w:rPr>
        <w:t>aspects</w:t>
      </w:r>
      <w:r w:rsidR="00570AF7" w:rsidRPr="00183ABB">
        <w:rPr>
          <w:rFonts w:ascii="Times New Roman" w:hAnsi="Times New Roman" w:cs="Times New Roman"/>
        </w:rPr>
        <w:t xml:space="preserve">. While historians combat misinformation </w:t>
      </w:r>
      <w:r w:rsidRPr="00183ABB">
        <w:rPr>
          <w:rFonts w:ascii="Times New Roman" w:hAnsi="Times New Roman" w:cs="Times New Roman"/>
        </w:rPr>
        <w:t xml:space="preserve">coming </w:t>
      </w:r>
      <w:r w:rsidR="00570AF7" w:rsidRPr="00183ABB">
        <w:rPr>
          <w:rFonts w:ascii="Times New Roman" w:hAnsi="Times New Roman" w:cs="Times New Roman"/>
        </w:rPr>
        <w:t>from the politicians and the public, it is important they do not shut themselves away in the ivory tower of academia. Public history is still very important and people are interested more than ever</w:t>
      </w:r>
      <w:r w:rsidRPr="00183ABB">
        <w:rPr>
          <w:rFonts w:ascii="Times New Roman" w:hAnsi="Times New Roman" w:cs="Times New Roman"/>
        </w:rPr>
        <w:t>;</w:t>
      </w:r>
      <w:r w:rsidR="00570AF7" w:rsidRPr="00183ABB">
        <w:rPr>
          <w:rFonts w:ascii="Times New Roman" w:hAnsi="Times New Roman" w:cs="Times New Roman"/>
        </w:rPr>
        <w:t xml:space="preserve"> the rise of re-enactment and living museums bear witness to this trend.</w:t>
      </w:r>
      <w:r w:rsidR="00154037" w:rsidRPr="00183ABB">
        <w:rPr>
          <w:rFonts w:ascii="Times New Roman" w:hAnsi="Times New Roman" w:cs="Times New Roman"/>
        </w:rPr>
        <w:fldChar w:fldCharType="begin"/>
      </w:r>
      <w:r w:rsidR="00154037" w:rsidRPr="00183ABB">
        <w:rPr>
          <w:rFonts w:ascii="Times New Roman" w:hAnsi="Times New Roman" w:cs="Times New Roman"/>
        </w:rPr>
        <w:instrText xml:space="preserve"> NOTEREF _Ref177287359 \f \h </w:instrText>
      </w:r>
      <w:r w:rsidR="00154037" w:rsidRPr="00183ABB">
        <w:rPr>
          <w:rFonts w:ascii="Times New Roman" w:hAnsi="Times New Roman" w:cs="Times New Roman"/>
        </w:rPr>
      </w:r>
      <w:r w:rsidR="00183ABB">
        <w:rPr>
          <w:rFonts w:ascii="Times New Roman" w:hAnsi="Times New Roman" w:cs="Times New Roman"/>
        </w:rPr>
        <w:instrText xml:space="preserve"> \* MERGEFORMAT </w:instrText>
      </w:r>
      <w:r w:rsidR="00154037" w:rsidRPr="00183ABB">
        <w:rPr>
          <w:rFonts w:ascii="Times New Roman" w:hAnsi="Times New Roman" w:cs="Times New Roman"/>
        </w:rPr>
        <w:fldChar w:fldCharType="separate"/>
      </w:r>
      <w:r w:rsidR="00154037" w:rsidRPr="00183ABB">
        <w:rPr>
          <w:rStyle w:val="FootnoteReference"/>
          <w:rFonts w:ascii="Times New Roman" w:hAnsi="Times New Roman" w:cs="Times New Roman"/>
        </w:rPr>
        <w:t>1</w:t>
      </w:r>
      <w:r w:rsidR="00154037" w:rsidRPr="00183ABB">
        <w:rPr>
          <w:rFonts w:ascii="Times New Roman" w:hAnsi="Times New Roman" w:cs="Times New Roman"/>
        </w:rPr>
        <w:fldChar w:fldCharType="end"/>
      </w:r>
      <w:r w:rsidR="00570AF7" w:rsidRPr="00183ABB">
        <w:rPr>
          <w:rFonts w:ascii="Times New Roman" w:hAnsi="Times New Roman" w:cs="Times New Roman"/>
        </w:rPr>
        <w:t xml:space="preserve"> This </w:t>
      </w:r>
      <w:r w:rsidRPr="00183ABB">
        <w:rPr>
          <w:rFonts w:ascii="Times New Roman" w:hAnsi="Times New Roman" w:cs="Times New Roman"/>
        </w:rPr>
        <w:t xml:space="preserve">task of public history </w:t>
      </w:r>
      <w:r w:rsidR="00570AF7" w:rsidRPr="00183ABB">
        <w:rPr>
          <w:rFonts w:ascii="Times New Roman" w:hAnsi="Times New Roman" w:cs="Times New Roman"/>
        </w:rPr>
        <w:t xml:space="preserve">overlaps with museums, </w:t>
      </w:r>
      <w:r w:rsidRPr="00183ABB">
        <w:rPr>
          <w:rFonts w:ascii="Times New Roman" w:hAnsi="Times New Roman" w:cs="Times New Roman"/>
        </w:rPr>
        <w:t xml:space="preserve">therefore </w:t>
      </w:r>
      <w:r w:rsidR="00570AF7" w:rsidRPr="00183ABB">
        <w:rPr>
          <w:rFonts w:ascii="Times New Roman" w:hAnsi="Times New Roman" w:cs="Times New Roman"/>
        </w:rPr>
        <w:t xml:space="preserve">historians must constantly adapt to new methods of communication. History, in the age of digital communication, is at a turning point. The rapid dissemination of information is a </w:t>
      </w:r>
      <w:r w:rsidRPr="00183ABB">
        <w:rPr>
          <w:rFonts w:ascii="Times New Roman" w:hAnsi="Times New Roman" w:cs="Times New Roman"/>
        </w:rPr>
        <w:t>double edged sword</w:t>
      </w:r>
      <w:r w:rsidR="00570AF7" w:rsidRPr="00183ABB">
        <w:rPr>
          <w:rFonts w:ascii="Times New Roman" w:hAnsi="Times New Roman" w:cs="Times New Roman"/>
        </w:rPr>
        <w:t xml:space="preserve">. While misinformation is communicated with more speed, information has never been easier to access. </w:t>
      </w:r>
      <w:proofErr w:type="spellStart"/>
      <w:r w:rsidR="00570AF7" w:rsidRPr="00183ABB">
        <w:rPr>
          <w:rFonts w:ascii="Times New Roman" w:hAnsi="Times New Roman" w:cs="Times New Roman"/>
        </w:rPr>
        <w:t>Youtube</w:t>
      </w:r>
      <w:proofErr w:type="spellEnd"/>
      <w:r w:rsidR="00570AF7" w:rsidRPr="00183ABB">
        <w:rPr>
          <w:rFonts w:ascii="Times New Roman" w:hAnsi="Times New Roman" w:cs="Times New Roman"/>
        </w:rPr>
        <w:t xml:space="preserve">, </w:t>
      </w:r>
      <w:proofErr w:type="spellStart"/>
      <w:r w:rsidR="00570AF7" w:rsidRPr="00183ABB">
        <w:rPr>
          <w:rFonts w:ascii="Times New Roman" w:hAnsi="Times New Roman" w:cs="Times New Roman"/>
        </w:rPr>
        <w:t>Tiktok</w:t>
      </w:r>
      <w:proofErr w:type="spellEnd"/>
      <w:r w:rsidR="00570AF7" w:rsidRPr="00183ABB">
        <w:rPr>
          <w:rFonts w:ascii="Times New Roman" w:hAnsi="Times New Roman" w:cs="Times New Roman"/>
        </w:rPr>
        <w:t xml:space="preserve"> and Instagram are platforms ideal for information exchange. It is important to take into account that both TikTok and Instagram communicate bite-sized </w:t>
      </w:r>
      <w:r w:rsidR="00570AF7" w:rsidRPr="00183ABB">
        <w:rPr>
          <w:rFonts w:ascii="Times New Roman" w:hAnsi="Times New Roman" w:cs="Times New Roman"/>
        </w:rPr>
        <w:lastRenderedPageBreak/>
        <w:t xml:space="preserve">information, therefore the objective should be to spark curiosity and not outright provide </w:t>
      </w:r>
      <w:r w:rsidRPr="00183ABB">
        <w:rPr>
          <w:rFonts w:ascii="Times New Roman" w:hAnsi="Times New Roman" w:cs="Times New Roman"/>
        </w:rPr>
        <w:t>specific information</w:t>
      </w:r>
      <w:r w:rsidR="00570AF7" w:rsidRPr="00183ABB">
        <w:rPr>
          <w:rFonts w:ascii="Times New Roman" w:hAnsi="Times New Roman" w:cs="Times New Roman"/>
        </w:rPr>
        <w:t xml:space="preserve">. </w:t>
      </w:r>
    </w:p>
    <w:p w14:paraId="4D6A7317" w14:textId="07CE0E1A" w:rsidR="00EE0A1B" w:rsidRPr="00183ABB" w:rsidRDefault="00570AF7" w:rsidP="00183ABB">
      <w:pPr>
        <w:spacing w:line="360" w:lineRule="auto"/>
        <w:rPr>
          <w:rFonts w:ascii="Times New Roman" w:hAnsi="Times New Roman" w:cs="Times New Roman"/>
        </w:rPr>
      </w:pPr>
      <w:r w:rsidRPr="00183ABB">
        <w:rPr>
          <w:rFonts w:ascii="Times New Roman" w:hAnsi="Times New Roman" w:cs="Times New Roman"/>
        </w:rPr>
        <w:t>Finally</w:t>
      </w:r>
      <w:r w:rsidR="005F41DE" w:rsidRPr="00183ABB">
        <w:rPr>
          <w:rFonts w:ascii="Times New Roman" w:hAnsi="Times New Roman" w:cs="Times New Roman"/>
        </w:rPr>
        <w:t>,</w:t>
      </w:r>
      <w:r w:rsidRPr="00183ABB">
        <w:rPr>
          <w:rFonts w:ascii="Times New Roman" w:hAnsi="Times New Roman" w:cs="Times New Roman"/>
        </w:rPr>
        <w:t xml:space="preserve"> among academics there is a responsibility to engage in falsification as exemplified by the Abraham affair.</w:t>
      </w:r>
      <w:r w:rsidR="00154037" w:rsidRPr="00183ABB">
        <w:rPr>
          <w:rStyle w:val="EndnoteReference"/>
          <w:rFonts w:ascii="Times New Roman" w:hAnsi="Times New Roman" w:cs="Times New Roman"/>
        </w:rPr>
        <w:endnoteReference w:id="6"/>
      </w:r>
      <w:r w:rsidR="00154037" w:rsidRPr="00183ABB">
        <w:rPr>
          <w:rFonts w:ascii="Times New Roman" w:hAnsi="Times New Roman" w:cs="Times New Roman"/>
        </w:rPr>
        <w:t xml:space="preserve"> </w:t>
      </w:r>
      <w:r w:rsidRPr="00183ABB">
        <w:rPr>
          <w:rFonts w:ascii="Times New Roman" w:hAnsi="Times New Roman" w:cs="Times New Roman"/>
        </w:rPr>
        <w:t>Methodologies and theories are always evolving, it is the task of both academic historians and public historians to engage with the new discoveries in the field lest they find themselves repeating the mistakes of their predecessors.</w:t>
      </w:r>
    </w:p>
    <w:sectPr w:rsidR="00EE0A1B" w:rsidRPr="00183ABB">
      <w:endnotePr>
        <w:numFmt w:val="decimal"/>
      </w:endnotePr>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F92DA" w14:textId="77777777" w:rsidR="00532BE4" w:rsidRDefault="00532BE4" w:rsidP="00154037">
      <w:pPr>
        <w:spacing w:after="0" w:line="240" w:lineRule="auto"/>
      </w:pPr>
      <w:r>
        <w:separator/>
      </w:r>
    </w:p>
  </w:endnote>
  <w:endnote w:type="continuationSeparator" w:id="0">
    <w:p w14:paraId="08A953DC" w14:textId="77777777" w:rsidR="00532BE4" w:rsidRDefault="00532BE4" w:rsidP="00154037">
      <w:pPr>
        <w:spacing w:after="0" w:line="240" w:lineRule="auto"/>
      </w:pPr>
      <w:r>
        <w:continuationSeparator/>
      </w:r>
    </w:p>
  </w:endnote>
  <w:endnote w:id="1">
    <w:p w14:paraId="5225F139" w14:textId="06FFBFA2" w:rsidR="00154037" w:rsidRDefault="00154037">
      <w:pPr>
        <w:pStyle w:val="EndnoteText"/>
      </w:pPr>
      <w:r>
        <w:rPr>
          <w:rStyle w:val="EndnoteReference"/>
        </w:rPr>
        <w:endnoteRef/>
      </w:r>
      <w:r>
        <w:t xml:space="preserve"> </w:t>
      </w:r>
      <w:r w:rsidRPr="00154037">
        <w:t xml:space="preserve">Hunt, Lynn. 2018. “History: Why It Matters.” In </w:t>
      </w:r>
      <w:r w:rsidRPr="00154037">
        <w:rPr>
          <w:i/>
          <w:iCs/>
        </w:rPr>
        <w:t>History</w:t>
      </w:r>
      <w:r w:rsidRPr="00154037">
        <w:rPr>
          <w:rFonts w:ascii="Arial" w:hAnsi="Arial" w:cs="Arial"/>
          <w:i/>
          <w:iCs/>
        </w:rPr>
        <w:t> </w:t>
      </w:r>
      <w:r w:rsidRPr="00154037">
        <w:rPr>
          <w:i/>
          <w:iCs/>
        </w:rPr>
        <w:t>: Why It Matters</w:t>
      </w:r>
      <w:r w:rsidRPr="00154037">
        <w:t>, 1. Why It Matters. Cambridge</w:t>
      </w:r>
      <w:r w:rsidRPr="00154037">
        <w:rPr>
          <w:rFonts w:ascii="Arial" w:hAnsi="Arial" w:cs="Arial"/>
        </w:rPr>
        <w:t> </w:t>
      </w:r>
      <w:r w:rsidRPr="00154037">
        <w:t>; Polity.</w:t>
      </w:r>
    </w:p>
  </w:endnote>
  <w:endnote w:id="2">
    <w:p w14:paraId="44262334" w14:textId="06214FF8" w:rsidR="00154037" w:rsidRDefault="00154037">
      <w:pPr>
        <w:pStyle w:val="EndnoteText"/>
      </w:pPr>
      <w:r>
        <w:rPr>
          <w:rStyle w:val="EndnoteReference"/>
        </w:rPr>
        <w:endnoteRef/>
      </w:r>
      <w:r>
        <w:t xml:space="preserve"> </w:t>
      </w:r>
      <w:r w:rsidRPr="00154037">
        <w:t xml:space="preserve">Trump, Donald. 2020. “Remarks by President Trump at the White House Conference on American History.” The American Mind. September 17, 2020. </w:t>
      </w:r>
      <w:hyperlink r:id="rId1" w:history="1">
        <w:r w:rsidRPr="00154037">
          <w:rPr>
            <w:rStyle w:val="Hyperlink"/>
          </w:rPr>
          <w:t>https://americanmind.org/features/reclaiming-american-history/remarks-by-president-trump-at-the-white-house-conference-on-american-history/</w:t>
        </w:r>
      </w:hyperlink>
      <w:r w:rsidRPr="00154037">
        <w:t>.</w:t>
      </w:r>
    </w:p>
  </w:endnote>
  <w:endnote w:id="3">
    <w:p w14:paraId="6DDE5BD1" w14:textId="7C0F7F94" w:rsidR="00154037" w:rsidRDefault="00154037">
      <w:pPr>
        <w:pStyle w:val="EndnoteText"/>
      </w:pPr>
      <w:r>
        <w:rPr>
          <w:rStyle w:val="EndnoteReference"/>
        </w:rPr>
        <w:endnoteRef/>
      </w:r>
      <w:r>
        <w:t xml:space="preserve"> </w:t>
      </w:r>
      <w:r w:rsidRPr="00154037">
        <w:t xml:space="preserve">Crowley, Michael, and Jennifer Schuessler. 2021. “Trump’s 1776 Commission Critiques Liberalism in Report Derided by Historians.” </w:t>
      </w:r>
      <w:r w:rsidRPr="00154037">
        <w:rPr>
          <w:i/>
          <w:iCs/>
        </w:rPr>
        <w:t>The New York Times</w:t>
      </w:r>
      <w:r w:rsidRPr="00154037">
        <w:t xml:space="preserve">, January 19, 2021, sec. U.S. </w:t>
      </w:r>
      <w:hyperlink r:id="rId2" w:history="1">
        <w:r w:rsidRPr="00154037">
          <w:rPr>
            <w:rStyle w:val="Hyperlink"/>
          </w:rPr>
          <w:t>https://www.nytimes.com/2021/01/18/us/politics/trump-1776-commission-report.html</w:t>
        </w:r>
      </w:hyperlink>
      <w:r w:rsidRPr="00154037">
        <w:t>.</w:t>
      </w:r>
    </w:p>
  </w:endnote>
  <w:endnote w:id="4">
    <w:p w14:paraId="718AF1AF" w14:textId="7B3DD7A8" w:rsidR="00154037" w:rsidRDefault="00154037">
      <w:pPr>
        <w:pStyle w:val="EndnoteText"/>
      </w:pPr>
      <w:r>
        <w:rPr>
          <w:rStyle w:val="EndnoteReference"/>
        </w:rPr>
        <w:endnoteRef/>
      </w:r>
      <w:r>
        <w:t xml:space="preserve"> </w:t>
      </w:r>
      <w:proofErr w:type="spellStart"/>
      <w:r w:rsidRPr="00154037">
        <w:t>Dietler</w:t>
      </w:r>
      <w:proofErr w:type="spellEnd"/>
      <w:r w:rsidRPr="00154037">
        <w:t xml:space="preserve">, Michael. 2006. “Alcohol: Anthropological/Archaeological Perspectives.” </w:t>
      </w:r>
      <w:r w:rsidRPr="00154037">
        <w:rPr>
          <w:i/>
          <w:iCs/>
        </w:rPr>
        <w:t>Annual Review of Anthropology</w:t>
      </w:r>
      <w:r w:rsidRPr="00154037">
        <w:t xml:space="preserve"> 35 (1): 229–49. </w:t>
      </w:r>
      <w:hyperlink r:id="rId3" w:history="1">
        <w:r w:rsidRPr="00154037">
          <w:rPr>
            <w:rStyle w:val="Hyperlink"/>
          </w:rPr>
          <w:t>https://doi.org/10.1146/annurev.anthro.35.081705.123120</w:t>
        </w:r>
      </w:hyperlink>
      <w:r w:rsidRPr="00154037">
        <w:t>.</w:t>
      </w:r>
    </w:p>
  </w:endnote>
  <w:endnote w:id="5">
    <w:p w14:paraId="14BD03BB" w14:textId="2C74D94E" w:rsidR="00154037" w:rsidRDefault="00154037">
      <w:pPr>
        <w:pStyle w:val="EndnoteText"/>
      </w:pPr>
      <w:r>
        <w:rPr>
          <w:rStyle w:val="EndnoteReference"/>
        </w:rPr>
        <w:endnoteRef/>
      </w:r>
      <w:r>
        <w:t xml:space="preserve"> </w:t>
      </w:r>
      <w:r w:rsidRPr="00154037">
        <w:t xml:space="preserve">Bennett, Judith M. 1987. “Wives and Husbands.” In </w:t>
      </w:r>
      <w:r w:rsidRPr="00154037">
        <w:rPr>
          <w:i/>
          <w:iCs/>
        </w:rPr>
        <w:t>Women in the Medieval English Countryside: Gender and Household in Brigstock Before the Plague</w:t>
      </w:r>
      <w:r w:rsidRPr="00154037">
        <w:t>, 100–141. Oxford University Press.</w:t>
      </w:r>
    </w:p>
  </w:endnote>
  <w:endnote w:id="6">
    <w:p w14:paraId="5D8FA48C" w14:textId="77777777" w:rsidR="00154037" w:rsidRPr="00154037" w:rsidRDefault="00154037" w:rsidP="00154037">
      <w:pPr>
        <w:pStyle w:val="EndnoteText"/>
      </w:pPr>
      <w:r>
        <w:rPr>
          <w:rStyle w:val="EndnoteReference"/>
        </w:rPr>
        <w:endnoteRef/>
      </w:r>
      <w:r>
        <w:t xml:space="preserve"> </w:t>
      </w:r>
      <w:r w:rsidRPr="00154037">
        <w:t xml:space="preserve">Novick, Peter. 1988. “The Abraham Affair.” In </w:t>
      </w:r>
      <w:r w:rsidRPr="00154037">
        <w:rPr>
          <w:i/>
          <w:iCs/>
        </w:rPr>
        <w:t>That Noble Dream: The Objectivity Question and the American Historical Profession</w:t>
      </w:r>
      <w:r w:rsidRPr="00154037">
        <w:t>, 612–21. Ideas in Context. Cambridge University Press.</w:t>
      </w:r>
    </w:p>
    <w:p w14:paraId="042E1898" w14:textId="6AA880F9" w:rsidR="00154037" w:rsidRDefault="0015403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061E9" w14:textId="77777777" w:rsidR="00532BE4" w:rsidRDefault="00532BE4" w:rsidP="00154037">
      <w:pPr>
        <w:spacing w:after="0" w:line="240" w:lineRule="auto"/>
      </w:pPr>
      <w:r>
        <w:separator/>
      </w:r>
    </w:p>
  </w:footnote>
  <w:footnote w:type="continuationSeparator" w:id="0">
    <w:p w14:paraId="2F80EF5D" w14:textId="77777777" w:rsidR="00532BE4" w:rsidRDefault="00532BE4" w:rsidP="00154037">
      <w:pPr>
        <w:spacing w:after="0" w:line="240" w:lineRule="auto"/>
      </w:pPr>
      <w:r>
        <w:continuationSeparator/>
      </w:r>
    </w:p>
  </w:footnote>
  <w:footnote w:type="continuationNotice" w:id="1">
    <w:p w14:paraId="36C70CF3" w14:textId="77777777" w:rsidR="00532BE4" w:rsidRDefault="00532BE4">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F7"/>
    <w:rsid w:val="000312A3"/>
    <w:rsid w:val="00154037"/>
    <w:rsid w:val="00183ABB"/>
    <w:rsid w:val="00270EC4"/>
    <w:rsid w:val="002D5EF5"/>
    <w:rsid w:val="004563D5"/>
    <w:rsid w:val="004A1730"/>
    <w:rsid w:val="00532BE4"/>
    <w:rsid w:val="00533A38"/>
    <w:rsid w:val="00570AF7"/>
    <w:rsid w:val="005F41DE"/>
    <w:rsid w:val="00756384"/>
    <w:rsid w:val="00784B16"/>
    <w:rsid w:val="00881439"/>
    <w:rsid w:val="00A44BE3"/>
    <w:rsid w:val="00A51A4B"/>
    <w:rsid w:val="00AD2E10"/>
    <w:rsid w:val="00EE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3266B"/>
  <w15:chartTrackingRefBased/>
  <w15:docId w15:val="{A778128F-7EE9-48CE-BABF-3AE0481B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A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A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A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A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AF7"/>
    <w:rPr>
      <w:rFonts w:eastAsiaTheme="majorEastAsia" w:cstheme="majorBidi"/>
      <w:color w:val="272727" w:themeColor="text1" w:themeTint="D8"/>
    </w:rPr>
  </w:style>
  <w:style w:type="paragraph" w:styleId="Title">
    <w:name w:val="Title"/>
    <w:basedOn w:val="Normal"/>
    <w:next w:val="Normal"/>
    <w:link w:val="TitleChar"/>
    <w:uiPriority w:val="10"/>
    <w:qFormat/>
    <w:rsid w:val="00570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AF7"/>
    <w:pPr>
      <w:spacing w:before="160"/>
      <w:jc w:val="center"/>
    </w:pPr>
    <w:rPr>
      <w:i/>
      <w:iCs/>
      <w:color w:val="404040" w:themeColor="text1" w:themeTint="BF"/>
    </w:rPr>
  </w:style>
  <w:style w:type="character" w:customStyle="1" w:styleId="QuoteChar">
    <w:name w:val="Quote Char"/>
    <w:basedOn w:val="DefaultParagraphFont"/>
    <w:link w:val="Quote"/>
    <w:uiPriority w:val="29"/>
    <w:rsid w:val="00570AF7"/>
    <w:rPr>
      <w:i/>
      <w:iCs/>
      <w:color w:val="404040" w:themeColor="text1" w:themeTint="BF"/>
    </w:rPr>
  </w:style>
  <w:style w:type="paragraph" w:styleId="ListParagraph">
    <w:name w:val="List Paragraph"/>
    <w:basedOn w:val="Normal"/>
    <w:uiPriority w:val="34"/>
    <w:qFormat/>
    <w:rsid w:val="00570AF7"/>
    <w:pPr>
      <w:ind w:left="720"/>
      <w:contextualSpacing/>
    </w:pPr>
  </w:style>
  <w:style w:type="character" w:styleId="IntenseEmphasis">
    <w:name w:val="Intense Emphasis"/>
    <w:basedOn w:val="DefaultParagraphFont"/>
    <w:uiPriority w:val="21"/>
    <w:qFormat/>
    <w:rsid w:val="00570AF7"/>
    <w:rPr>
      <w:i/>
      <w:iCs/>
      <w:color w:val="0F4761" w:themeColor="accent1" w:themeShade="BF"/>
    </w:rPr>
  </w:style>
  <w:style w:type="paragraph" w:styleId="IntenseQuote">
    <w:name w:val="Intense Quote"/>
    <w:basedOn w:val="Normal"/>
    <w:next w:val="Normal"/>
    <w:link w:val="IntenseQuoteChar"/>
    <w:uiPriority w:val="30"/>
    <w:qFormat/>
    <w:rsid w:val="00570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AF7"/>
    <w:rPr>
      <w:i/>
      <w:iCs/>
      <w:color w:val="0F4761" w:themeColor="accent1" w:themeShade="BF"/>
    </w:rPr>
  </w:style>
  <w:style w:type="character" w:styleId="IntenseReference">
    <w:name w:val="Intense Reference"/>
    <w:basedOn w:val="DefaultParagraphFont"/>
    <w:uiPriority w:val="32"/>
    <w:qFormat/>
    <w:rsid w:val="00570AF7"/>
    <w:rPr>
      <w:b/>
      <w:bCs/>
      <w:smallCaps/>
      <w:color w:val="0F4761" w:themeColor="accent1" w:themeShade="BF"/>
      <w:spacing w:val="5"/>
    </w:rPr>
  </w:style>
  <w:style w:type="paragraph" w:styleId="FootnoteText">
    <w:name w:val="footnote text"/>
    <w:basedOn w:val="Normal"/>
    <w:link w:val="FootnoteTextChar"/>
    <w:uiPriority w:val="99"/>
    <w:semiHidden/>
    <w:unhideWhenUsed/>
    <w:rsid w:val="001540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4037"/>
    <w:rPr>
      <w:sz w:val="20"/>
      <w:szCs w:val="20"/>
    </w:rPr>
  </w:style>
  <w:style w:type="character" w:styleId="FootnoteReference">
    <w:name w:val="footnote reference"/>
    <w:basedOn w:val="DefaultParagraphFont"/>
    <w:uiPriority w:val="99"/>
    <w:unhideWhenUsed/>
    <w:rsid w:val="00154037"/>
    <w:rPr>
      <w:vertAlign w:val="superscript"/>
    </w:rPr>
  </w:style>
  <w:style w:type="character" w:styleId="Hyperlink">
    <w:name w:val="Hyperlink"/>
    <w:basedOn w:val="DefaultParagraphFont"/>
    <w:uiPriority w:val="99"/>
    <w:unhideWhenUsed/>
    <w:rsid w:val="00154037"/>
    <w:rPr>
      <w:color w:val="467886" w:themeColor="hyperlink"/>
      <w:u w:val="single"/>
    </w:rPr>
  </w:style>
  <w:style w:type="character" w:styleId="UnresolvedMention">
    <w:name w:val="Unresolved Mention"/>
    <w:basedOn w:val="DefaultParagraphFont"/>
    <w:uiPriority w:val="99"/>
    <w:semiHidden/>
    <w:unhideWhenUsed/>
    <w:rsid w:val="00154037"/>
    <w:rPr>
      <w:color w:val="605E5C"/>
      <w:shd w:val="clear" w:color="auto" w:fill="E1DFDD"/>
    </w:rPr>
  </w:style>
  <w:style w:type="paragraph" w:styleId="EndnoteText">
    <w:name w:val="endnote text"/>
    <w:basedOn w:val="Normal"/>
    <w:link w:val="EndnoteTextChar"/>
    <w:uiPriority w:val="99"/>
    <w:semiHidden/>
    <w:unhideWhenUsed/>
    <w:rsid w:val="001540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4037"/>
    <w:rPr>
      <w:sz w:val="20"/>
      <w:szCs w:val="20"/>
    </w:rPr>
  </w:style>
  <w:style w:type="character" w:styleId="EndnoteReference">
    <w:name w:val="endnote reference"/>
    <w:basedOn w:val="DefaultParagraphFont"/>
    <w:uiPriority w:val="99"/>
    <w:semiHidden/>
    <w:unhideWhenUsed/>
    <w:rsid w:val="001540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99078">
      <w:bodyDiv w:val="1"/>
      <w:marLeft w:val="0"/>
      <w:marRight w:val="0"/>
      <w:marTop w:val="0"/>
      <w:marBottom w:val="0"/>
      <w:divBdr>
        <w:top w:val="none" w:sz="0" w:space="0" w:color="auto"/>
        <w:left w:val="none" w:sz="0" w:space="0" w:color="auto"/>
        <w:bottom w:val="none" w:sz="0" w:space="0" w:color="auto"/>
        <w:right w:val="none" w:sz="0" w:space="0" w:color="auto"/>
      </w:divBdr>
      <w:divsChild>
        <w:div w:id="602150413">
          <w:marLeft w:val="480"/>
          <w:marRight w:val="0"/>
          <w:marTop w:val="0"/>
          <w:marBottom w:val="0"/>
          <w:divBdr>
            <w:top w:val="none" w:sz="0" w:space="0" w:color="auto"/>
            <w:left w:val="none" w:sz="0" w:space="0" w:color="auto"/>
            <w:bottom w:val="none" w:sz="0" w:space="0" w:color="auto"/>
            <w:right w:val="none" w:sz="0" w:space="0" w:color="auto"/>
          </w:divBdr>
          <w:divsChild>
            <w:div w:id="6089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41636">
      <w:bodyDiv w:val="1"/>
      <w:marLeft w:val="0"/>
      <w:marRight w:val="0"/>
      <w:marTop w:val="0"/>
      <w:marBottom w:val="0"/>
      <w:divBdr>
        <w:top w:val="none" w:sz="0" w:space="0" w:color="auto"/>
        <w:left w:val="none" w:sz="0" w:space="0" w:color="auto"/>
        <w:bottom w:val="none" w:sz="0" w:space="0" w:color="auto"/>
        <w:right w:val="none" w:sz="0" w:space="0" w:color="auto"/>
      </w:divBdr>
      <w:divsChild>
        <w:div w:id="877204532">
          <w:marLeft w:val="480"/>
          <w:marRight w:val="0"/>
          <w:marTop w:val="0"/>
          <w:marBottom w:val="0"/>
          <w:divBdr>
            <w:top w:val="none" w:sz="0" w:space="0" w:color="auto"/>
            <w:left w:val="none" w:sz="0" w:space="0" w:color="auto"/>
            <w:bottom w:val="none" w:sz="0" w:space="0" w:color="auto"/>
            <w:right w:val="none" w:sz="0" w:space="0" w:color="auto"/>
          </w:divBdr>
          <w:divsChild>
            <w:div w:id="4618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21831">
      <w:bodyDiv w:val="1"/>
      <w:marLeft w:val="0"/>
      <w:marRight w:val="0"/>
      <w:marTop w:val="0"/>
      <w:marBottom w:val="0"/>
      <w:divBdr>
        <w:top w:val="none" w:sz="0" w:space="0" w:color="auto"/>
        <w:left w:val="none" w:sz="0" w:space="0" w:color="auto"/>
        <w:bottom w:val="none" w:sz="0" w:space="0" w:color="auto"/>
        <w:right w:val="none" w:sz="0" w:space="0" w:color="auto"/>
      </w:divBdr>
      <w:divsChild>
        <w:div w:id="498421503">
          <w:marLeft w:val="480"/>
          <w:marRight w:val="0"/>
          <w:marTop w:val="0"/>
          <w:marBottom w:val="0"/>
          <w:divBdr>
            <w:top w:val="none" w:sz="0" w:space="0" w:color="auto"/>
            <w:left w:val="none" w:sz="0" w:space="0" w:color="auto"/>
            <w:bottom w:val="none" w:sz="0" w:space="0" w:color="auto"/>
            <w:right w:val="none" w:sz="0" w:space="0" w:color="auto"/>
          </w:divBdr>
          <w:divsChild>
            <w:div w:id="9537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1725">
      <w:bodyDiv w:val="1"/>
      <w:marLeft w:val="0"/>
      <w:marRight w:val="0"/>
      <w:marTop w:val="0"/>
      <w:marBottom w:val="0"/>
      <w:divBdr>
        <w:top w:val="none" w:sz="0" w:space="0" w:color="auto"/>
        <w:left w:val="none" w:sz="0" w:space="0" w:color="auto"/>
        <w:bottom w:val="none" w:sz="0" w:space="0" w:color="auto"/>
        <w:right w:val="none" w:sz="0" w:space="0" w:color="auto"/>
      </w:divBdr>
      <w:divsChild>
        <w:div w:id="676887054">
          <w:marLeft w:val="480"/>
          <w:marRight w:val="0"/>
          <w:marTop w:val="0"/>
          <w:marBottom w:val="0"/>
          <w:divBdr>
            <w:top w:val="none" w:sz="0" w:space="0" w:color="auto"/>
            <w:left w:val="none" w:sz="0" w:space="0" w:color="auto"/>
            <w:bottom w:val="none" w:sz="0" w:space="0" w:color="auto"/>
            <w:right w:val="none" w:sz="0" w:space="0" w:color="auto"/>
          </w:divBdr>
          <w:divsChild>
            <w:div w:id="2579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0990">
      <w:bodyDiv w:val="1"/>
      <w:marLeft w:val="0"/>
      <w:marRight w:val="0"/>
      <w:marTop w:val="0"/>
      <w:marBottom w:val="0"/>
      <w:divBdr>
        <w:top w:val="none" w:sz="0" w:space="0" w:color="auto"/>
        <w:left w:val="none" w:sz="0" w:space="0" w:color="auto"/>
        <w:bottom w:val="none" w:sz="0" w:space="0" w:color="auto"/>
        <w:right w:val="none" w:sz="0" w:space="0" w:color="auto"/>
      </w:divBdr>
      <w:divsChild>
        <w:div w:id="1139810244">
          <w:marLeft w:val="480"/>
          <w:marRight w:val="0"/>
          <w:marTop w:val="0"/>
          <w:marBottom w:val="0"/>
          <w:divBdr>
            <w:top w:val="none" w:sz="0" w:space="0" w:color="auto"/>
            <w:left w:val="none" w:sz="0" w:space="0" w:color="auto"/>
            <w:bottom w:val="none" w:sz="0" w:space="0" w:color="auto"/>
            <w:right w:val="none" w:sz="0" w:space="0" w:color="auto"/>
          </w:divBdr>
          <w:divsChild>
            <w:div w:id="14590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8471">
      <w:bodyDiv w:val="1"/>
      <w:marLeft w:val="0"/>
      <w:marRight w:val="0"/>
      <w:marTop w:val="0"/>
      <w:marBottom w:val="0"/>
      <w:divBdr>
        <w:top w:val="none" w:sz="0" w:space="0" w:color="auto"/>
        <w:left w:val="none" w:sz="0" w:space="0" w:color="auto"/>
        <w:bottom w:val="none" w:sz="0" w:space="0" w:color="auto"/>
        <w:right w:val="none" w:sz="0" w:space="0" w:color="auto"/>
      </w:divBdr>
      <w:divsChild>
        <w:div w:id="2043431809">
          <w:marLeft w:val="480"/>
          <w:marRight w:val="0"/>
          <w:marTop w:val="0"/>
          <w:marBottom w:val="0"/>
          <w:divBdr>
            <w:top w:val="none" w:sz="0" w:space="0" w:color="auto"/>
            <w:left w:val="none" w:sz="0" w:space="0" w:color="auto"/>
            <w:bottom w:val="none" w:sz="0" w:space="0" w:color="auto"/>
            <w:right w:val="none" w:sz="0" w:space="0" w:color="auto"/>
          </w:divBdr>
          <w:divsChild>
            <w:div w:id="1565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3934">
      <w:bodyDiv w:val="1"/>
      <w:marLeft w:val="0"/>
      <w:marRight w:val="0"/>
      <w:marTop w:val="0"/>
      <w:marBottom w:val="0"/>
      <w:divBdr>
        <w:top w:val="none" w:sz="0" w:space="0" w:color="auto"/>
        <w:left w:val="none" w:sz="0" w:space="0" w:color="auto"/>
        <w:bottom w:val="none" w:sz="0" w:space="0" w:color="auto"/>
        <w:right w:val="none" w:sz="0" w:space="0" w:color="auto"/>
      </w:divBdr>
      <w:divsChild>
        <w:div w:id="473104659">
          <w:marLeft w:val="480"/>
          <w:marRight w:val="0"/>
          <w:marTop w:val="0"/>
          <w:marBottom w:val="0"/>
          <w:divBdr>
            <w:top w:val="none" w:sz="0" w:space="0" w:color="auto"/>
            <w:left w:val="none" w:sz="0" w:space="0" w:color="auto"/>
            <w:bottom w:val="none" w:sz="0" w:space="0" w:color="auto"/>
            <w:right w:val="none" w:sz="0" w:space="0" w:color="auto"/>
          </w:divBdr>
          <w:divsChild>
            <w:div w:id="8269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352">
      <w:bodyDiv w:val="1"/>
      <w:marLeft w:val="0"/>
      <w:marRight w:val="0"/>
      <w:marTop w:val="0"/>
      <w:marBottom w:val="0"/>
      <w:divBdr>
        <w:top w:val="none" w:sz="0" w:space="0" w:color="auto"/>
        <w:left w:val="none" w:sz="0" w:space="0" w:color="auto"/>
        <w:bottom w:val="none" w:sz="0" w:space="0" w:color="auto"/>
        <w:right w:val="none" w:sz="0" w:space="0" w:color="auto"/>
      </w:divBdr>
    </w:div>
    <w:div w:id="1117913439">
      <w:bodyDiv w:val="1"/>
      <w:marLeft w:val="0"/>
      <w:marRight w:val="0"/>
      <w:marTop w:val="0"/>
      <w:marBottom w:val="0"/>
      <w:divBdr>
        <w:top w:val="none" w:sz="0" w:space="0" w:color="auto"/>
        <w:left w:val="none" w:sz="0" w:space="0" w:color="auto"/>
        <w:bottom w:val="none" w:sz="0" w:space="0" w:color="auto"/>
        <w:right w:val="none" w:sz="0" w:space="0" w:color="auto"/>
      </w:divBdr>
      <w:divsChild>
        <w:div w:id="714083491">
          <w:marLeft w:val="480"/>
          <w:marRight w:val="0"/>
          <w:marTop w:val="0"/>
          <w:marBottom w:val="0"/>
          <w:divBdr>
            <w:top w:val="none" w:sz="0" w:space="0" w:color="auto"/>
            <w:left w:val="none" w:sz="0" w:space="0" w:color="auto"/>
            <w:bottom w:val="none" w:sz="0" w:space="0" w:color="auto"/>
            <w:right w:val="none" w:sz="0" w:space="0" w:color="auto"/>
          </w:divBdr>
          <w:divsChild>
            <w:div w:id="16453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7805">
      <w:bodyDiv w:val="1"/>
      <w:marLeft w:val="0"/>
      <w:marRight w:val="0"/>
      <w:marTop w:val="0"/>
      <w:marBottom w:val="0"/>
      <w:divBdr>
        <w:top w:val="none" w:sz="0" w:space="0" w:color="auto"/>
        <w:left w:val="none" w:sz="0" w:space="0" w:color="auto"/>
        <w:bottom w:val="none" w:sz="0" w:space="0" w:color="auto"/>
        <w:right w:val="none" w:sz="0" w:space="0" w:color="auto"/>
      </w:divBdr>
    </w:div>
    <w:div w:id="1207646231">
      <w:bodyDiv w:val="1"/>
      <w:marLeft w:val="0"/>
      <w:marRight w:val="0"/>
      <w:marTop w:val="0"/>
      <w:marBottom w:val="0"/>
      <w:divBdr>
        <w:top w:val="none" w:sz="0" w:space="0" w:color="auto"/>
        <w:left w:val="none" w:sz="0" w:space="0" w:color="auto"/>
        <w:bottom w:val="none" w:sz="0" w:space="0" w:color="auto"/>
        <w:right w:val="none" w:sz="0" w:space="0" w:color="auto"/>
      </w:divBdr>
      <w:divsChild>
        <w:div w:id="356084839">
          <w:marLeft w:val="480"/>
          <w:marRight w:val="0"/>
          <w:marTop w:val="0"/>
          <w:marBottom w:val="0"/>
          <w:divBdr>
            <w:top w:val="none" w:sz="0" w:space="0" w:color="auto"/>
            <w:left w:val="none" w:sz="0" w:space="0" w:color="auto"/>
            <w:bottom w:val="none" w:sz="0" w:space="0" w:color="auto"/>
            <w:right w:val="none" w:sz="0" w:space="0" w:color="auto"/>
          </w:divBdr>
          <w:divsChild>
            <w:div w:id="13319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8629">
      <w:bodyDiv w:val="1"/>
      <w:marLeft w:val="0"/>
      <w:marRight w:val="0"/>
      <w:marTop w:val="0"/>
      <w:marBottom w:val="0"/>
      <w:divBdr>
        <w:top w:val="none" w:sz="0" w:space="0" w:color="auto"/>
        <w:left w:val="none" w:sz="0" w:space="0" w:color="auto"/>
        <w:bottom w:val="none" w:sz="0" w:space="0" w:color="auto"/>
        <w:right w:val="none" w:sz="0" w:space="0" w:color="auto"/>
      </w:divBdr>
      <w:divsChild>
        <w:div w:id="243951422">
          <w:marLeft w:val="480"/>
          <w:marRight w:val="0"/>
          <w:marTop w:val="0"/>
          <w:marBottom w:val="0"/>
          <w:divBdr>
            <w:top w:val="none" w:sz="0" w:space="0" w:color="auto"/>
            <w:left w:val="none" w:sz="0" w:space="0" w:color="auto"/>
            <w:bottom w:val="none" w:sz="0" w:space="0" w:color="auto"/>
            <w:right w:val="none" w:sz="0" w:space="0" w:color="auto"/>
          </w:divBdr>
          <w:divsChild>
            <w:div w:id="8896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606">
      <w:bodyDiv w:val="1"/>
      <w:marLeft w:val="0"/>
      <w:marRight w:val="0"/>
      <w:marTop w:val="0"/>
      <w:marBottom w:val="0"/>
      <w:divBdr>
        <w:top w:val="none" w:sz="0" w:space="0" w:color="auto"/>
        <w:left w:val="none" w:sz="0" w:space="0" w:color="auto"/>
        <w:bottom w:val="none" w:sz="0" w:space="0" w:color="auto"/>
        <w:right w:val="none" w:sz="0" w:space="0" w:color="auto"/>
      </w:divBdr>
      <w:divsChild>
        <w:div w:id="1103846005">
          <w:marLeft w:val="480"/>
          <w:marRight w:val="0"/>
          <w:marTop w:val="0"/>
          <w:marBottom w:val="0"/>
          <w:divBdr>
            <w:top w:val="none" w:sz="0" w:space="0" w:color="auto"/>
            <w:left w:val="none" w:sz="0" w:space="0" w:color="auto"/>
            <w:bottom w:val="none" w:sz="0" w:space="0" w:color="auto"/>
            <w:right w:val="none" w:sz="0" w:space="0" w:color="auto"/>
          </w:divBdr>
          <w:divsChild>
            <w:div w:id="19312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143">
      <w:bodyDiv w:val="1"/>
      <w:marLeft w:val="0"/>
      <w:marRight w:val="0"/>
      <w:marTop w:val="0"/>
      <w:marBottom w:val="0"/>
      <w:divBdr>
        <w:top w:val="none" w:sz="0" w:space="0" w:color="auto"/>
        <w:left w:val="none" w:sz="0" w:space="0" w:color="auto"/>
        <w:bottom w:val="none" w:sz="0" w:space="0" w:color="auto"/>
        <w:right w:val="none" w:sz="0" w:space="0" w:color="auto"/>
      </w:divBdr>
      <w:divsChild>
        <w:div w:id="1062365304">
          <w:marLeft w:val="480"/>
          <w:marRight w:val="0"/>
          <w:marTop w:val="0"/>
          <w:marBottom w:val="0"/>
          <w:divBdr>
            <w:top w:val="none" w:sz="0" w:space="0" w:color="auto"/>
            <w:left w:val="none" w:sz="0" w:space="0" w:color="auto"/>
            <w:bottom w:val="none" w:sz="0" w:space="0" w:color="auto"/>
            <w:right w:val="none" w:sz="0" w:space="0" w:color="auto"/>
          </w:divBdr>
          <w:divsChild>
            <w:div w:id="579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s://doi.org/10.1146/annurev.anthro.35.081705.123120" TargetMode="External"/><Relationship Id="rId2" Type="http://schemas.openxmlformats.org/officeDocument/2006/relationships/hyperlink" Target="https://www.nytimes.com/2021/01/18/us/politics/trump-1776-commission-report.html" TargetMode="External"/><Relationship Id="rId1" Type="http://schemas.openxmlformats.org/officeDocument/2006/relationships/hyperlink" Target="https://americanmind.org/features/reclaiming-american-history/remarks-by-president-trump-at-the-white-house-conference-on-american-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174FA15-1B22-4583-971C-4002AA29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2</Pages>
  <Words>461</Words>
  <Characters>2616</Characters>
  <Application>Microsoft Office Word</Application>
  <DocSecurity>0</DocSecurity>
  <Lines>36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23</cp:revision>
  <dcterms:created xsi:type="dcterms:W3CDTF">2024-09-14T15:16:00Z</dcterms:created>
  <dcterms:modified xsi:type="dcterms:W3CDTF">2024-09-15T08:17:00Z</dcterms:modified>
</cp:coreProperties>
</file>