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12238" w14:textId="20F96F1F" w:rsidR="009F1BDE" w:rsidRPr="00B87F1F" w:rsidRDefault="00DA5C93" w:rsidP="001C50DF">
      <w:pPr>
        <w:spacing w:line="360" w:lineRule="auto"/>
        <w:ind w:firstLine="720"/>
        <w:rPr>
          <w:rFonts w:ascii="Times New Roman" w:hAnsi="Times New Roman" w:cs="Times New Roman"/>
        </w:rPr>
      </w:pPr>
      <w:r w:rsidRPr="00BE236B">
        <w:rPr>
          <w:rFonts w:ascii="Times New Roman" w:hAnsi="Times New Roman" w:cs="Times New Roman"/>
        </w:rPr>
        <w:t>Bloch (2021</w:t>
      </w:r>
      <w:r w:rsidR="009E1166" w:rsidRPr="00BE236B">
        <w:rPr>
          <w:rFonts w:ascii="Times New Roman" w:hAnsi="Times New Roman" w:cs="Times New Roman"/>
        </w:rPr>
        <w:t>) main thesis in this work is the validity of the comparative method,</w:t>
      </w:r>
      <w:r w:rsidR="009E1166" w:rsidRPr="00B87F1F">
        <w:rPr>
          <w:rFonts w:ascii="Times New Roman" w:hAnsi="Times New Roman" w:cs="Times New Roman"/>
        </w:rPr>
        <w:t xml:space="preserve"> however, he advocates for reform of the comparative method</w:t>
      </w:r>
      <w:r w:rsidRPr="00B87F1F">
        <w:rPr>
          <w:rFonts w:ascii="Times New Roman" w:hAnsi="Times New Roman" w:cs="Times New Roman"/>
        </w:rPr>
        <w:t>.</w:t>
      </w:r>
      <w:r w:rsidR="009E1166" w:rsidRPr="00B87F1F">
        <w:rPr>
          <w:rFonts w:ascii="Times New Roman" w:hAnsi="Times New Roman" w:cs="Times New Roman"/>
        </w:rPr>
        <w:t xml:space="preserve"> He explains that the traditional method of comparison has been restrictive and subjugated to nation states</w:t>
      </w:r>
      <w:r w:rsidR="00F84DCD" w:rsidRPr="00B87F1F">
        <w:rPr>
          <w:rFonts w:ascii="Times New Roman" w:hAnsi="Times New Roman" w:cs="Times New Roman"/>
        </w:rPr>
        <w:t xml:space="preserve"> </w:t>
      </w:r>
      <w:r w:rsidR="00F84DCD" w:rsidRPr="00B87F1F">
        <w:rPr>
          <w:rFonts w:ascii="Times New Roman" w:hAnsi="Times New Roman" w:cs="Times New Roman"/>
        </w:rPr>
        <w:fldChar w:fldCharType="begin"/>
      </w:r>
      <w:r w:rsidR="004969C0" w:rsidRPr="00B87F1F">
        <w:rPr>
          <w:rFonts w:ascii="Times New Roman" w:hAnsi="Times New Roman" w:cs="Times New Roman"/>
        </w:rPr>
        <w:instrText xml:space="preserve"> ADDIN ZOTERO_ITEM CSL_CITATION {"citationID":"9GRlwjRM","properties":{"formattedCitation":"(Bloch 2022, 92)","plainCitation":"(Bloch 2022, 92)","noteIndex":0},"citationItems":[{"id":1802,"uris":["http://zotero.org/users/9264098/items/QGH5LTX6"],"itemData":{"id":1802,"type":"chapter","container-title":"The rise of comparative history","event-place":"Budapest, Hungary","ISBN":"963-386-362-7","language":"eng","note":"Citation Key: BlochMarc2022ACTa\ntex.copyright: 2022, Central European University Press, Budapest, Hungary","page":"89-124","publisher":"Central European University Press","publisher-place":"Budapest, Hungary","title":"A contribution towards a comparative history of european societies","author":[{"family":"Bloch","given":"Marc"}],"issued":{"date-parts":[["2022"]]},"citation-key":"BlochMarc2022ACTa"},"locator":"92"}],"schema":"https://github.com/citation-style-language/schema/raw/master/csl-citation.json"} </w:instrText>
      </w:r>
      <w:r w:rsidR="00F84DCD" w:rsidRPr="00B87F1F">
        <w:rPr>
          <w:rFonts w:ascii="Times New Roman" w:hAnsi="Times New Roman" w:cs="Times New Roman"/>
        </w:rPr>
        <w:fldChar w:fldCharType="separate"/>
      </w:r>
      <w:r w:rsidR="00F84DCD" w:rsidRPr="00B87F1F">
        <w:rPr>
          <w:rFonts w:ascii="Times New Roman" w:hAnsi="Times New Roman" w:cs="Times New Roman"/>
        </w:rPr>
        <w:t>(Bloch 2022, 92)</w:t>
      </w:r>
      <w:r w:rsidR="00F84DCD" w:rsidRPr="00B87F1F">
        <w:rPr>
          <w:rFonts w:ascii="Times New Roman" w:hAnsi="Times New Roman" w:cs="Times New Roman"/>
        </w:rPr>
        <w:fldChar w:fldCharType="end"/>
      </w:r>
      <w:r w:rsidR="009E1166" w:rsidRPr="00B87F1F">
        <w:rPr>
          <w:rFonts w:ascii="Times New Roman" w:hAnsi="Times New Roman" w:cs="Times New Roman"/>
        </w:rPr>
        <w:t xml:space="preserve">. He however advocates for another method. </w:t>
      </w:r>
      <w:r w:rsidRPr="00B87F1F">
        <w:rPr>
          <w:rFonts w:ascii="Times New Roman" w:hAnsi="Times New Roman" w:cs="Times New Roman"/>
        </w:rPr>
        <w:t>He explains his reasoning as follows “</w:t>
      </w:r>
      <w:r w:rsidR="00376E19" w:rsidRPr="00B87F1F">
        <w:rPr>
          <w:rFonts w:ascii="Times New Roman" w:hAnsi="Times New Roman" w:cs="Times New Roman"/>
        </w:rPr>
        <w:t>But there is another use for the comparative method. This is to make a parallel study of societies that are at once neighbouring and contemporary, exercising a constant mutual influence, exposed throughout their development to the action of the same broad causes just because they are close and contemporaneous, and owing their existence in part at least to a common origin</w:t>
      </w:r>
      <w:r w:rsidRPr="00B87F1F">
        <w:rPr>
          <w:rFonts w:ascii="Times New Roman" w:hAnsi="Times New Roman" w:cs="Times New Roman"/>
        </w:rPr>
        <w:t xml:space="preserve">” </w:t>
      </w:r>
      <w:r w:rsidR="00376E19" w:rsidRPr="00B87F1F">
        <w:rPr>
          <w:rFonts w:ascii="Times New Roman" w:hAnsi="Times New Roman" w:cs="Times New Roman"/>
        </w:rPr>
        <w:fldChar w:fldCharType="begin"/>
      </w:r>
      <w:r w:rsidR="004969C0" w:rsidRPr="00B87F1F">
        <w:rPr>
          <w:rFonts w:ascii="Times New Roman" w:hAnsi="Times New Roman" w:cs="Times New Roman"/>
        </w:rPr>
        <w:instrText xml:space="preserve"> ADDIN ZOTERO_ITEM CSL_CITATION {"citationID":"pwmKyA71","properties":{"formattedCitation":"(Bloch 2022, 94)","plainCitation":"(Bloch 2022, 94)","noteIndex":0},"citationItems":[{"id":1802,"uris":["http://zotero.org/users/9264098/items/QGH5LTX6"],"itemData":{"id":1802,"type":"chapter","container-title":"The rise of comparative history","event-place":"Budapest, Hungary","ISBN":"963-386-362-7","language":"eng","note":"Citation Key: BlochMarc2022ACTa\ntex.copyright: 2022, Central European University Press, Budapest, Hungary","page":"89-124","publisher":"Central European University Press","publisher-place":"Budapest, Hungary","title":"A contribution towards a comparative history of european societies","author":[{"family":"Bloch","given":"Marc"}],"issued":{"date-parts":[["2022"]]},"citation-key":"BlochMarc2022ACTa"},"locator":"94","label":"page"}],"schema":"https://github.com/citation-style-language/schema/raw/master/csl-citation.json"} </w:instrText>
      </w:r>
      <w:r w:rsidR="00376E19" w:rsidRPr="00B87F1F">
        <w:rPr>
          <w:rFonts w:ascii="Times New Roman" w:hAnsi="Times New Roman" w:cs="Times New Roman"/>
        </w:rPr>
        <w:fldChar w:fldCharType="separate"/>
      </w:r>
      <w:r w:rsidR="00376E19" w:rsidRPr="00B87F1F">
        <w:rPr>
          <w:rFonts w:ascii="Times New Roman" w:hAnsi="Times New Roman" w:cs="Times New Roman"/>
        </w:rPr>
        <w:t>(Bloch 2022, 94)</w:t>
      </w:r>
      <w:r w:rsidR="00376E19" w:rsidRPr="00B87F1F">
        <w:rPr>
          <w:rFonts w:ascii="Times New Roman" w:hAnsi="Times New Roman" w:cs="Times New Roman"/>
        </w:rPr>
        <w:fldChar w:fldCharType="end"/>
      </w:r>
      <w:r w:rsidR="00376E19" w:rsidRPr="00B87F1F">
        <w:rPr>
          <w:rFonts w:ascii="Times New Roman" w:hAnsi="Times New Roman" w:cs="Times New Roman"/>
        </w:rPr>
        <w:t xml:space="preserve">. </w:t>
      </w:r>
      <w:r w:rsidRPr="00B87F1F">
        <w:rPr>
          <w:rFonts w:ascii="Times New Roman" w:hAnsi="Times New Roman" w:cs="Times New Roman"/>
        </w:rPr>
        <w:t>This quote exemplifies the entire text</w:t>
      </w:r>
      <w:r w:rsidR="00591D53" w:rsidRPr="00B87F1F">
        <w:rPr>
          <w:rFonts w:ascii="Times New Roman" w:hAnsi="Times New Roman" w:cs="Times New Roman"/>
        </w:rPr>
        <w:t xml:space="preserve">, Bloch very much disagrees with the </w:t>
      </w:r>
      <w:r w:rsidR="00376E19" w:rsidRPr="00B87F1F">
        <w:rPr>
          <w:rFonts w:ascii="Times New Roman" w:hAnsi="Times New Roman" w:cs="Times New Roman"/>
        </w:rPr>
        <w:t xml:space="preserve">a growing trend among historians which has resulted in the abandonment of the comparative method </w:t>
      </w:r>
      <w:r w:rsidR="00376E19" w:rsidRPr="00B87F1F">
        <w:rPr>
          <w:rFonts w:ascii="Times New Roman" w:hAnsi="Times New Roman" w:cs="Times New Roman"/>
        </w:rPr>
        <w:fldChar w:fldCharType="begin"/>
      </w:r>
      <w:r w:rsidR="004969C0" w:rsidRPr="00B87F1F">
        <w:rPr>
          <w:rFonts w:ascii="Times New Roman" w:hAnsi="Times New Roman" w:cs="Times New Roman"/>
        </w:rPr>
        <w:instrText xml:space="preserve"> ADDIN ZOTERO_ITEM CSL_CITATION {"citationID":"aVIAMfy9","properties":{"formattedCitation":"(Bloch 2022, 91)","plainCitation":"(Bloch 2022, 91)","noteIndex":0},"citationItems":[{"id":1802,"uris":["http://zotero.org/users/9264098/items/QGH5LTX6"],"itemData":{"id":1802,"type":"chapter","container-title":"The rise of comparative history","event-place":"Budapest, Hungary","ISBN":"963-386-362-7","language":"eng","note":"Citation Key: BlochMarc2022ACTa\ntex.copyright: 2022, Central European University Press, Budapest, Hungary","page":"89-124","publisher":"Central European University Press","publisher-place":"Budapest, Hungary","title":"A contribution towards a comparative history of european societies","author":[{"family":"Bloch","given":"Marc"}],"issued":{"date-parts":[["2022"]]},"citation-key":"BlochMarc2022ACTa"},"locator":"91"}],"schema":"https://github.com/citation-style-language/schema/raw/master/csl-citation.json"} </w:instrText>
      </w:r>
      <w:r w:rsidR="00376E19" w:rsidRPr="00B87F1F">
        <w:rPr>
          <w:rFonts w:ascii="Times New Roman" w:hAnsi="Times New Roman" w:cs="Times New Roman"/>
        </w:rPr>
        <w:fldChar w:fldCharType="separate"/>
      </w:r>
      <w:r w:rsidR="00376E19" w:rsidRPr="00B87F1F">
        <w:rPr>
          <w:rFonts w:ascii="Times New Roman" w:hAnsi="Times New Roman" w:cs="Times New Roman"/>
        </w:rPr>
        <w:t>(Bloch 2022, 91)</w:t>
      </w:r>
      <w:r w:rsidR="00376E19" w:rsidRPr="00B87F1F">
        <w:rPr>
          <w:rFonts w:ascii="Times New Roman" w:hAnsi="Times New Roman" w:cs="Times New Roman"/>
        </w:rPr>
        <w:fldChar w:fldCharType="end"/>
      </w:r>
      <w:r w:rsidRPr="00B87F1F">
        <w:rPr>
          <w:rFonts w:ascii="Times New Roman" w:hAnsi="Times New Roman" w:cs="Times New Roman"/>
        </w:rPr>
        <w:t xml:space="preserve">. </w:t>
      </w:r>
      <w:r w:rsidR="00CC235A" w:rsidRPr="00B87F1F">
        <w:rPr>
          <w:rFonts w:ascii="Times New Roman" w:hAnsi="Times New Roman" w:cs="Times New Roman"/>
        </w:rPr>
        <w:t>Bloch</w:t>
      </w:r>
      <w:r w:rsidR="003C1C1E" w:rsidRPr="00B87F1F">
        <w:rPr>
          <w:rFonts w:ascii="Times New Roman" w:hAnsi="Times New Roman" w:cs="Times New Roman"/>
        </w:rPr>
        <w:t xml:space="preserve"> advocates </w:t>
      </w:r>
      <w:r w:rsidRPr="00B87F1F">
        <w:rPr>
          <w:rFonts w:ascii="Times New Roman" w:hAnsi="Times New Roman" w:cs="Times New Roman"/>
        </w:rPr>
        <w:t xml:space="preserve">for </w:t>
      </w:r>
      <w:r w:rsidR="003C1C1E" w:rsidRPr="00B87F1F">
        <w:rPr>
          <w:rFonts w:ascii="Times New Roman" w:hAnsi="Times New Roman" w:cs="Times New Roman"/>
        </w:rPr>
        <w:t xml:space="preserve">an approach which doesn’t only restrict itself to phenomena but also looks at societies influencing each other </w:t>
      </w:r>
      <w:r w:rsidR="00591D53" w:rsidRPr="00B87F1F">
        <w:rPr>
          <w:rFonts w:ascii="Times New Roman" w:hAnsi="Times New Roman" w:cs="Times New Roman"/>
        </w:rPr>
        <w:fldChar w:fldCharType="begin"/>
      </w:r>
      <w:r w:rsidR="004969C0" w:rsidRPr="00B87F1F">
        <w:rPr>
          <w:rFonts w:ascii="Times New Roman" w:hAnsi="Times New Roman" w:cs="Times New Roman"/>
        </w:rPr>
        <w:instrText xml:space="preserve"> ADDIN ZOTERO_ITEM CSL_CITATION {"citationID":"bCcO6Vw4","properties":{"formattedCitation":"(Bloch 2022, 94; Macdonald 2013, 8)","plainCitation":"(Bloch 2022, 94; Macdonald 2013, 8)","noteIndex":0},"citationItems":[{"id":1802,"uris":["http://zotero.org/users/9264098/items/QGH5LTX6"],"itemData":{"id":1802,"type":"chapter","container-title":"The rise of comparative history","event-place":"Budapest, Hungary","ISBN":"963-386-362-7","language":"eng","note":"Citation Key: BlochMarc2022ACTa\ntex.copyright: 2022, Central European University Press, Budapest, Hungary","page":"89-124","publisher":"Central European University Press","publisher-place":"Budapest, Hungary","title":"A contribution towards a comparative history of european societies","author":[{"family":"Bloch","given":"Marc"}],"issued":{"date-parts":[["2022"]]},"citation-key":"BlochMarc2022ACTa"},"locator":"94","label":"page"},{"id":1799,"uris":["http://zotero.org/users/9264098/items/ND2UZK7F"],"itemData":{"id":1799,"type":"document","publisher":"UCL Centre for Transnational History","title":"Transnational History: A Review of Past and Present Scholarship","author":[{"family":"Macdonald","given":"Simon"}],"issued":{"date-parts":[["2013"]]},"citation-key":"macdonaldTransnationalHistoryReview2013"},"locator":"8"}],"schema":"https://github.com/citation-style-language/schema/raw/master/csl-citation.json"} </w:instrText>
      </w:r>
      <w:r w:rsidR="00591D53" w:rsidRPr="00B87F1F">
        <w:rPr>
          <w:rFonts w:ascii="Times New Roman" w:hAnsi="Times New Roman" w:cs="Times New Roman"/>
        </w:rPr>
        <w:fldChar w:fldCharType="separate"/>
      </w:r>
      <w:r w:rsidR="00A1403D" w:rsidRPr="00B87F1F">
        <w:rPr>
          <w:rFonts w:ascii="Times New Roman" w:hAnsi="Times New Roman" w:cs="Times New Roman"/>
        </w:rPr>
        <w:t>(Bloch 2022, 94; Macdonald 2013, 8)</w:t>
      </w:r>
      <w:r w:rsidR="00591D53" w:rsidRPr="00B87F1F">
        <w:rPr>
          <w:rFonts w:ascii="Times New Roman" w:hAnsi="Times New Roman" w:cs="Times New Roman"/>
        </w:rPr>
        <w:fldChar w:fldCharType="end"/>
      </w:r>
      <w:r w:rsidR="000F1E13" w:rsidRPr="00B87F1F">
        <w:rPr>
          <w:rFonts w:ascii="Times New Roman" w:hAnsi="Times New Roman" w:cs="Times New Roman"/>
        </w:rPr>
        <w:t xml:space="preserve">. Bloch then goes on to discuss pitfalls to avoid when performing the comparative methods </w:t>
      </w:r>
      <w:r w:rsidR="00D22951" w:rsidRPr="00B87F1F">
        <w:rPr>
          <w:rFonts w:ascii="Times New Roman" w:hAnsi="Times New Roman" w:cs="Times New Roman"/>
        </w:rPr>
        <w:t>and elaborating on the necessary elements that make up the comparative method</w:t>
      </w:r>
      <w:r w:rsidR="00516383" w:rsidRPr="00B87F1F">
        <w:rPr>
          <w:rFonts w:ascii="Times New Roman" w:hAnsi="Times New Roman" w:cs="Times New Roman"/>
        </w:rPr>
        <w:t xml:space="preserve">, using various examples like the process of enclosure in two different societies, France and England </w:t>
      </w:r>
      <w:r w:rsidR="00516383" w:rsidRPr="00B87F1F">
        <w:rPr>
          <w:rFonts w:ascii="Times New Roman" w:hAnsi="Times New Roman" w:cs="Times New Roman"/>
        </w:rPr>
        <w:fldChar w:fldCharType="begin"/>
      </w:r>
      <w:r w:rsidR="004969C0" w:rsidRPr="00B87F1F">
        <w:rPr>
          <w:rFonts w:ascii="Times New Roman" w:hAnsi="Times New Roman" w:cs="Times New Roman"/>
        </w:rPr>
        <w:instrText xml:space="preserve"> ADDIN ZOTERO_ITEM CSL_CITATION {"citationID":"enek4DQc","properties":{"formattedCitation":"(Bloch 2022, 97)","plainCitation":"(Bloch 2022, 97)","noteIndex":0},"citationItems":[{"id":1802,"uris":["http://zotero.org/users/9264098/items/QGH5LTX6"],"itemData":{"id":1802,"type":"chapter","container-title":"The rise of comparative history","event-place":"Budapest, Hungary","ISBN":"963-386-362-7","language":"eng","note":"Citation Key: BlochMarc2022ACTa\ntex.copyright: 2022, Central European University Press, Budapest, Hungary","page":"89-124","publisher":"Central European University Press","publisher-place":"Budapest, Hungary","title":"A contribution towards a comparative history of european societies","author":[{"family":"Bloch","given":"Marc"}],"issued":{"date-parts":[["2022"]]},"citation-key":"BlochMarc2022ACTa"},"locator":"97","label":"page"}],"schema":"https://github.com/citation-style-language/schema/raw/master/csl-citation.json"} </w:instrText>
      </w:r>
      <w:r w:rsidR="00516383" w:rsidRPr="00B87F1F">
        <w:rPr>
          <w:rFonts w:ascii="Times New Roman" w:hAnsi="Times New Roman" w:cs="Times New Roman"/>
        </w:rPr>
        <w:fldChar w:fldCharType="separate"/>
      </w:r>
      <w:r w:rsidR="00516383" w:rsidRPr="00B87F1F">
        <w:rPr>
          <w:rFonts w:ascii="Times New Roman" w:hAnsi="Times New Roman" w:cs="Times New Roman"/>
        </w:rPr>
        <w:t>(Bloch 2022, 97)</w:t>
      </w:r>
      <w:r w:rsidR="00516383" w:rsidRPr="00B87F1F">
        <w:rPr>
          <w:rFonts w:ascii="Times New Roman" w:hAnsi="Times New Roman" w:cs="Times New Roman"/>
        </w:rPr>
        <w:fldChar w:fldCharType="end"/>
      </w:r>
      <w:r w:rsidR="00D22951" w:rsidRPr="00B87F1F">
        <w:rPr>
          <w:rFonts w:ascii="Times New Roman" w:hAnsi="Times New Roman" w:cs="Times New Roman"/>
        </w:rPr>
        <w:t xml:space="preserve">. </w:t>
      </w:r>
      <w:r w:rsidR="00376E19" w:rsidRPr="00B87F1F">
        <w:rPr>
          <w:rFonts w:ascii="Times New Roman" w:hAnsi="Times New Roman" w:cs="Times New Roman"/>
        </w:rPr>
        <w:t xml:space="preserve">Bloch’s work falls within the context of a larger trend which seeks to critique the traditional comparative method </w:t>
      </w:r>
      <w:r w:rsidR="00376E19" w:rsidRPr="00B87F1F">
        <w:rPr>
          <w:rFonts w:ascii="Times New Roman" w:hAnsi="Times New Roman" w:cs="Times New Roman"/>
        </w:rPr>
        <w:fldChar w:fldCharType="begin"/>
      </w:r>
      <w:r w:rsidR="004969C0" w:rsidRPr="00B87F1F">
        <w:rPr>
          <w:rFonts w:ascii="Times New Roman" w:hAnsi="Times New Roman" w:cs="Times New Roman"/>
        </w:rPr>
        <w:instrText xml:space="preserve"> ADDIN ZOTERO_ITEM CSL_CITATION {"citationID":"3KR855sm","properties":{"formattedCitation":"(Macdonald 2013, 7)","plainCitation":"(Macdonald 2013, 7)","noteIndex":0},"citationItems":[{"id":1799,"uris":["http://zotero.org/users/9264098/items/ND2UZK7F"],"itemData":{"id":1799,"type":"document","publisher":"UCL Centre for Transnational History","title":"Transnational History: A Review of Past and Present Scholarship","author":[{"family":"Macdonald","given":"Simon"}],"issued":{"date-parts":[["2013"]]},"citation-key":"macdonaldTransnationalHistoryReview2013"},"locator":"7","label":"page"}],"schema":"https://github.com/citation-style-language/schema/raw/master/csl-citation.json"} </w:instrText>
      </w:r>
      <w:r w:rsidR="00376E19" w:rsidRPr="00B87F1F">
        <w:rPr>
          <w:rFonts w:ascii="Times New Roman" w:hAnsi="Times New Roman" w:cs="Times New Roman"/>
        </w:rPr>
        <w:fldChar w:fldCharType="separate"/>
      </w:r>
      <w:r w:rsidR="00376E19" w:rsidRPr="00B87F1F">
        <w:rPr>
          <w:rFonts w:ascii="Times New Roman" w:hAnsi="Times New Roman" w:cs="Times New Roman"/>
        </w:rPr>
        <w:t>(Macdonald 2013, 7)</w:t>
      </w:r>
      <w:r w:rsidR="00376E19" w:rsidRPr="00B87F1F">
        <w:rPr>
          <w:rFonts w:ascii="Times New Roman" w:hAnsi="Times New Roman" w:cs="Times New Roman"/>
        </w:rPr>
        <w:fldChar w:fldCharType="end"/>
      </w:r>
      <w:r w:rsidR="00376E19" w:rsidRPr="00B87F1F">
        <w:rPr>
          <w:rFonts w:ascii="Times New Roman" w:hAnsi="Times New Roman" w:cs="Times New Roman"/>
        </w:rPr>
        <w:t xml:space="preserve">. </w:t>
      </w:r>
      <w:r w:rsidR="003D735A" w:rsidRPr="00B87F1F">
        <w:rPr>
          <w:rFonts w:ascii="Times New Roman" w:hAnsi="Times New Roman" w:cs="Times New Roman"/>
        </w:rPr>
        <w:t xml:space="preserve">Bloch advocates for the points of comparison to be broadened, beyond simple nations </w:t>
      </w:r>
      <w:r w:rsidR="003D735A" w:rsidRPr="00B87F1F">
        <w:rPr>
          <w:rFonts w:ascii="Times New Roman" w:hAnsi="Times New Roman" w:cs="Times New Roman"/>
        </w:rPr>
        <w:fldChar w:fldCharType="begin"/>
      </w:r>
      <w:r w:rsidR="004969C0" w:rsidRPr="00B87F1F">
        <w:rPr>
          <w:rFonts w:ascii="Times New Roman" w:hAnsi="Times New Roman" w:cs="Times New Roman"/>
        </w:rPr>
        <w:instrText xml:space="preserve"> ADDIN ZOTERO_ITEM CSL_CITATION {"citationID":"YPYjnXs1","properties":{"formattedCitation":"(Macdonald 2013, 8)","plainCitation":"(Macdonald 2013, 8)","noteIndex":0},"citationItems":[{"id":1799,"uris":["http://zotero.org/users/9264098/items/ND2UZK7F"],"itemData":{"id":1799,"type":"document","publisher":"UCL Centre for Transnational History","title":"Transnational History: A Review of Past and Present Scholarship","author":[{"family":"Macdonald","given":"Simon"}],"issued":{"date-parts":[["2013"]]},"citation-key":"macdonaldTransnationalHistoryReview2013"},"locator":"8","label":"page"}],"schema":"https://github.com/citation-style-language/schema/raw/master/csl-citation.json"} </w:instrText>
      </w:r>
      <w:r w:rsidR="003D735A" w:rsidRPr="00B87F1F">
        <w:rPr>
          <w:rFonts w:ascii="Times New Roman" w:hAnsi="Times New Roman" w:cs="Times New Roman"/>
        </w:rPr>
        <w:fldChar w:fldCharType="separate"/>
      </w:r>
      <w:r w:rsidR="00020BCB" w:rsidRPr="00B87F1F">
        <w:rPr>
          <w:rFonts w:ascii="Times New Roman" w:hAnsi="Times New Roman" w:cs="Times New Roman"/>
        </w:rPr>
        <w:t>(Macdonald 2013, 8)</w:t>
      </w:r>
      <w:r w:rsidR="003D735A" w:rsidRPr="00B87F1F">
        <w:rPr>
          <w:rFonts w:ascii="Times New Roman" w:hAnsi="Times New Roman" w:cs="Times New Roman"/>
        </w:rPr>
        <w:fldChar w:fldCharType="end"/>
      </w:r>
      <w:r w:rsidR="003D735A" w:rsidRPr="00B87F1F">
        <w:rPr>
          <w:rFonts w:ascii="Times New Roman" w:hAnsi="Times New Roman" w:cs="Times New Roman"/>
        </w:rPr>
        <w:t xml:space="preserve">. In this he resembles the historians who advocate for an analytical approach of cultural transfer. </w:t>
      </w:r>
      <w:r w:rsidR="009F1BDE" w:rsidRPr="00B87F1F">
        <w:rPr>
          <w:rFonts w:ascii="Times New Roman" w:hAnsi="Times New Roman" w:cs="Times New Roman"/>
        </w:rPr>
        <w:t xml:space="preserve">Cultural transfer historians and Bloch both share the critique that using nations as a unit of analysis is flawed since it implies that these can be separated and are inflexible </w:t>
      </w:r>
      <w:r w:rsidR="009F1BDE" w:rsidRPr="00B87F1F">
        <w:rPr>
          <w:rFonts w:ascii="Times New Roman" w:hAnsi="Times New Roman" w:cs="Times New Roman"/>
        </w:rPr>
        <w:fldChar w:fldCharType="begin"/>
      </w:r>
      <w:r w:rsidR="004969C0" w:rsidRPr="00B87F1F">
        <w:rPr>
          <w:rFonts w:ascii="Times New Roman" w:hAnsi="Times New Roman" w:cs="Times New Roman"/>
        </w:rPr>
        <w:instrText xml:space="preserve"> ADDIN ZOTERO_ITEM CSL_CITATION {"citationID":"qnnTF0pI","properties":{"formattedCitation":"(Macdonald 2013, 5; Berger 2003, 169)","plainCitation":"(Macdonald 2013, 5; Berger 2003, 169)","noteIndex":0},"citationItems":[{"id":1799,"uris":["http://zotero.org/users/9264098/items/ND2UZK7F"],"itemData":{"id":1799,"type":"document","publisher":"UCL Centre for Transnational History","title":"Transnational History: A Review of Past and Present Scholarship","author":[{"family":"Macdonald","given":"Simon"}],"issued":{"date-parts":[["2013"]]},"citation-key":"macdonaldTransnationalHistoryReview2013"},"locator":"5"},{"id":1801,"uris":["http://zotero.org/users/9264098/items/CALIBYQD"],"itemData":{"id":1801,"type":"chapter","collection-title":"Writing History","container-title":"Writing History: Theory and Practice","edition":"1st","ISBN":"0-340-76176-8","publisher":"Hodder Arnold","title":"Comparative history","author":[{"family":"Berger","given":"Stefan"}],"editor":[{"family":"Berger","given":"Stefan"},{"family":"Feldner","given":"Heiko"},{"family":"Passmore","given":"Kevin"}],"issued":{"date-parts":[["2003"]]},"citation-key":"bergerComparativeHistory2003"},"locator":"169"}],"schema":"https://github.com/citation-style-language/schema/raw/master/csl-citation.json"} </w:instrText>
      </w:r>
      <w:r w:rsidR="009F1BDE" w:rsidRPr="00B87F1F">
        <w:rPr>
          <w:rFonts w:ascii="Times New Roman" w:hAnsi="Times New Roman" w:cs="Times New Roman"/>
        </w:rPr>
        <w:fldChar w:fldCharType="separate"/>
      </w:r>
      <w:r w:rsidR="00775A34" w:rsidRPr="00B87F1F">
        <w:rPr>
          <w:rFonts w:ascii="Times New Roman" w:hAnsi="Times New Roman" w:cs="Times New Roman"/>
        </w:rPr>
        <w:t>(Macdonald 2013, 5; Berger 2003, 169)</w:t>
      </w:r>
      <w:r w:rsidR="009F1BDE" w:rsidRPr="00B87F1F">
        <w:rPr>
          <w:rFonts w:ascii="Times New Roman" w:hAnsi="Times New Roman" w:cs="Times New Roman"/>
        </w:rPr>
        <w:fldChar w:fldCharType="end"/>
      </w:r>
      <w:r w:rsidR="00E6398A" w:rsidRPr="00B87F1F">
        <w:rPr>
          <w:rFonts w:ascii="Times New Roman" w:hAnsi="Times New Roman" w:cs="Times New Roman"/>
        </w:rPr>
        <w:t xml:space="preserve">. </w:t>
      </w:r>
    </w:p>
    <w:p w14:paraId="5F055E83" w14:textId="0C254B87" w:rsidR="009F4937" w:rsidRPr="00B87F1F" w:rsidRDefault="00DE4148" w:rsidP="001C50DF">
      <w:pPr>
        <w:spacing w:line="360" w:lineRule="auto"/>
        <w:rPr>
          <w:rFonts w:ascii="Times New Roman" w:hAnsi="Times New Roman" w:cs="Times New Roman"/>
          <w:lang w:val="en-US"/>
        </w:rPr>
      </w:pPr>
      <w:r w:rsidRPr="00B87F1F">
        <w:rPr>
          <w:rFonts w:ascii="Times New Roman" w:hAnsi="Times New Roman" w:cs="Times New Roman"/>
        </w:rPr>
        <w:tab/>
        <w:t xml:space="preserve">This focus on the nation as a unit of analysis draws from the birth of history as a discipline. Kocka </w:t>
      </w:r>
      <w:r w:rsidRPr="00B87F1F">
        <w:rPr>
          <w:rFonts w:ascii="Times New Roman" w:hAnsi="Times New Roman" w:cs="Times New Roman"/>
        </w:rPr>
        <w:fldChar w:fldCharType="begin"/>
      </w:r>
      <w:r w:rsidR="004969C0" w:rsidRPr="00B87F1F">
        <w:rPr>
          <w:rFonts w:ascii="Times New Roman" w:hAnsi="Times New Roman" w:cs="Times New Roman"/>
        </w:rPr>
        <w:instrText xml:space="preserve"> ADDIN ZOTERO_ITEM CSL_CITATION {"citationID":"NAiq2Eec","properties":{"formattedCitation":"(2009)","plainCitation":"(2009)","noteIndex":0},"citationItems":[{"id":1807,"uris":["http://zotero.org/users/9264098/items/2MH4MGLC"],"itemData":{"id":1807,"type":"article-journal","abstract":"Abstract\n              While it is necessary to distinguish between analytical and normative statements, the quest for this distinction – and for value-free science – is itself normatively based. Comparative approaches can serve important descriptive and analytical functions. They reduce the danger of methodological nationalism and intellectual parochialism in historical studies. The comparative approach allows to find an acceptable middle ground between the acceptance of basic differences and universalist claims. Method and ethos interact. But a-symmetric comparison shows that scientific productivity and political incorrectness can go together. For this, Max Weber's comparative approach can serve as an example.","container-title":"East Central Europe","DOI":"10.1163/187633009X411430","ISSN":"0094-3037, 1876-3308","issue":"1","journalAbbreviation":"East Cent Eur","page":"12-19","source":"DOI.org (Crossref)","title":"Comparative History: Methodology and Ethos","title-short":"Comparative History","volume":"36","author":[{"family":"Kocka","given":"Jürgen"}],"issued":{"date-parts":[["2009"]]},"citation-key":"kockaComparativeHistoryMethodology2009"},"label":"page","suppress-author":true}],"schema":"https://github.com/citation-style-language/schema/raw/master/csl-citation.json"} </w:instrText>
      </w:r>
      <w:r w:rsidRPr="00B87F1F">
        <w:rPr>
          <w:rFonts w:ascii="Times New Roman" w:hAnsi="Times New Roman" w:cs="Times New Roman"/>
        </w:rPr>
        <w:fldChar w:fldCharType="separate"/>
      </w:r>
      <w:r w:rsidRPr="00B87F1F">
        <w:rPr>
          <w:rFonts w:ascii="Times New Roman" w:hAnsi="Times New Roman" w:cs="Times New Roman"/>
        </w:rPr>
        <w:t>(2009)</w:t>
      </w:r>
      <w:r w:rsidRPr="00B87F1F">
        <w:rPr>
          <w:rFonts w:ascii="Times New Roman" w:hAnsi="Times New Roman" w:cs="Times New Roman"/>
        </w:rPr>
        <w:fldChar w:fldCharType="end"/>
      </w:r>
      <w:r w:rsidRPr="00B87F1F">
        <w:rPr>
          <w:rFonts w:ascii="Times New Roman" w:hAnsi="Times New Roman" w:cs="Times New Roman"/>
        </w:rPr>
        <w:t xml:space="preserve"> attributes the creation of history as a discipline to the rise of nations as well as the post-enlightenment focus on science. </w:t>
      </w:r>
      <w:r w:rsidR="006F3FEE" w:rsidRPr="00B87F1F">
        <w:rPr>
          <w:rFonts w:ascii="Times New Roman" w:hAnsi="Times New Roman" w:cs="Times New Roman"/>
        </w:rPr>
        <w:t>“As a consequence, history as a discipline has established itself largely (not exclusively) in the form of national history. The consequences are still effective today. Even at the beginning of the 21st century, historians in different countries prefer to study their own history</w:t>
      </w:r>
      <w:r w:rsidR="001349A3" w:rsidRPr="00B87F1F">
        <w:rPr>
          <w:rFonts w:ascii="Times New Roman" w:hAnsi="Times New Roman" w:cs="Times New Roman"/>
        </w:rPr>
        <w:t xml:space="preserve">” </w:t>
      </w:r>
      <w:r w:rsidR="001349A3" w:rsidRPr="00B87F1F">
        <w:rPr>
          <w:rFonts w:ascii="Times New Roman" w:hAnsi="Times New Roman" w:cs="Times New Roman"/>
        </w:rPr>
        <w:fldChar w:fldCharType="begin"/>
      </w:r>
      <w:r w:rsidR="004969C0" w:rsidRPr="00B87F1F">
        <w:rPr>
          <w:rFonts w:ascii="Times New Roman" w:hAnsi="Times New Roman" w:cs="Times New Roman"/>
        </w:rPr>
        <w:instrText xml:space="preserve"> ADDIN ZOTERO_ITEM CSL_CITATION {"citationID":"PS4Nhuoc","properties":{"formattedCitation":"(Kocka 2009, 15)","plainCitation":"(Kocka 2009, 15)","noteIndex":0},"citationItems":[{"id":1807,"uris":["http://zotero.org/users/9264098/items/2MH4MGLC"],"itemData":{"id":1807,"type":"article-journal","abstract":"Abstract\n              While it is necessary to distinguish between analytical and normative statements, the quest for this distinction – and for value-free science – is itself normatively based. Comparative approaches can serve important descriptive and analytical functions. They reduce the danger of methodological nationalism and intellectual parochialism in historical studies. The comparative approach allows to find an acceptable middle ground between the acceptance of basic differences and universalist claims. Method and ethos interact. But a-symmetric comparison shows that scientific productivity and political incorrectness can go together. For this, Max Weber's comparative approach can serve as an example.","container-title":"East Central Europe","DOI":"10.1163/187633009X411430","ISSN":"0094-3037, 1876-3308","issue":"1","journalAbbreviation":"East Cent Eur","page":"12-19","source":"DOI.org (Crossref)","title":"Comparative History: Methodology and Ethos","title-short":"Comparative History","volume":"36","author":[{"family":"Kocka","given":"Jürgen"}],"issued":{"date-parts":[["2009"]]},"citation-key":"kockaComparativeHistoryMethodology2009"},"locator":"15"}],"schema":"https://github.com/citation-style-language/schema/raw/master/csl-citation.json"} </w:instrText>
      </w:r>
      <w:r w:rsidR="001349A3" w:rsidRPr="00B87F1F">
        <w:rPr>
          <w:rFonts w:ascii="Times New Roman" w:hAnsi="Times New Roman" w:cs="Times New Roman"/>
        </w:rPr>
        <w:fldChar w:fldCharType="separate"/>
      </w:r>
      <w:r w:rsidR="001349A3" w:rsidRPr="00B87F1F">
        <w:rPr>
          <w:rFonts w:ascii="Times New Roman" w:hAnsi="Times New Roman" w:cs="Times New Roman"/>
        </w:rPr>
        <w:t>(Kocka 2009, 15)</w:t>
      </w:r>
      <w:r w:rsidR="001349A3" w:rsidRPr="00B87F1F">
        <w:rPr>
          <w:rFonts w:ascii="Times New Roman" w:hAnsi="Times New Roman" w:cs="Times New Roman"/>
        </w:rPr>
        <w:fldChar w:fldCharType="end"/>
      </w:r>
      <w:r w:rsidR="001349A3" w:rsidRPr="00B87F1F">
        <w:rPr>
          <w:rFonts w:ascii="Times New Roman" w:hAnsi="Times New Roman" w:cs="Times New Roman"/>
        </w:rPr>
        <w:t xml:space="preserve">. </w:t>
      </w:r>
      <w:r w:rsidR="0036466D" w:rsidRPr="00B87F1F">
        <w:rPr>
          <w:rFonts w:ascii="Times New Roman" w:hAnsi="Times New Roman" w:cs="Times New Roman"/>
        </w:rPr>
        <w:t>The origin of history as a discipline therefore is tied with the need to justify national narratives. This</w:t>
      </w:r>
      <w:r w:rsidR="003C3D42" w:rsidRPr="00B87F1F">
        <w:rPr>
          <w:rFonts w:ascii="Times New Roman" w:hAnsi="Times New Roman" w:cs="Times New Roman"/>
        </w:rPr>
        <w:t>,</w:t>
      </w:r>
      <w:r w:rsidR="0036466D" w:rsidRPr="00B87F1F">
        <w:rPr>
          <w:rFonts w:ascii="Times New Roman" w:hAnsi="Times New Roman" w:cs="Times New Roman"/>
        </w:rPr>
        <w:t xml:space="preserve"> however</w:t>
      </w:r>
      <w:r w:rsidR="003C3D42" w:rsidRPr="00B87F1F">
        <w:rPr>
          <w:rFonts w:ascii="Times New Roman" w:hAnsi="Times New Roman" w:cs="Times New Roman"/>
        </w:rPr>
        <w:t>,</w:t>
      </w:r>
      <w:r w:rsidR="0036466D" w:rsidRPr="00B87F1F">
        <w:rPr>
          <w:rFonts w:ascii="Times New Roman" w:hAnsi="Times New Roman" w:cs="Times New Roman"/>
        </w:rPr>
        <w:t xml:space="preserve"> is not necessarily an indictment of traditional history</w:t>
      </w:r>
      <w:r w:rsidR="00775A34" w:rsidRPr="00B87F1F">
        <w:rPr>
          <w:rFonts w:ascii="Times New Roman" w:hAnsi="Times New Roman" w:cs="Times New Roman"/>
        </w:rPr>
        <w:t>.</w:t>
      </w:r>
      <w:r w:rsidR="00C90B83" w:rsidRPr="00B87F1F">
        <w:rPr>
          <w:rFonts w:ascii="Times New Roman" w:hAnsi="Times New Roman" w:cs="Times New Roman"/>
          <w:lang w:val="en-US"/>
        </w:rPr>
        <w:t xml:space="preserve"> Kocka still advocates for the comparative method</w:t>
      </w:r>
      <w:r w:rsidR="00B5076D" w:rsidRPr="00B87F1F">
        <w:rPr>
          <w:rFonts w:ascii="Times New Roman" w:hAnsi="Times New Roman" w:cs="Times New Roman"/>
          <w:lang w:val="en-US"/>
        </w:rPr>
        <w:t>; however,</w:t>
      </w:r>
      <w:r w:rsidR="00C90B83" w:rsidRPr="00B87F1F">
        <w:rPr>
          <w:rFonts w:ascii="Times New Roman" w:hAnsi="Times New Roman" w:cs="Times New Roman"/>
          <w:lang w:val="en-US"/>
        </w:rPr>
        <w:t xml:space="preserve"> </w:t>
      </w:r>
      <w:r w:rsidR="00B4596F" w:rsidRPr="00B87F1F">
        <w:rPr>
          <w:rFonts w:ascii="Times New Roman" w:hAnsi="Times New Roman" w:cs="Times New Roman"/>
          <w:lang w:val="en-US"/>
        </w:rPr>
        <w:t>Kocha</w:t>
      </w:r>
      <w:r w:rsidR="00B5076D" w:rsidRPr="00B87F1F">
        <w:rPr>
          <w:rFonts w:ascii="Times New Roman" w:hAnsi="Times New Roman" w:cs="Times New Roman"/>
          <w:lang w:val="en-US"/>
        </w:rPr>
        <w:t xml:space="preserve"> provide</w:t>
      </w:r>
      <w:r w:rsidR="00B4596F" w:rsidRPr="00B87F1F">
        <w:rPr>
          <w:rFonts w:ascii="Times New Roman" w:hAnsi="Times New Roman" w:cs="Times New Roman"/>
          <w:lang w:val="en-US"/>
        </w:rPr>
        <w:t>s</w:t>
      </w:r>
      <w:r w:rsidR="00B5076D" w:rsidRPr="00B87F1F">
        <w:rPr>
          <w:rFonts w:ascii="Times New Roman" w:hAnsi="Times New Roman" w:cs="Times New Roman"/>
          <w:lang w:val="en-US"/>
        </w:rPr>
        <w:t xml:space="preserve"> elements that comparisons must adhere to</w:t>
      </w:r>
      <w:r w:rsidR="00C90B83" w:rsidRPr="00B87F1F">
        <w:rPr>
          <w:rFonts w:ascii="Times New Roman" w:hAnsi="Times New Roman" w:cs="Times New Roman"/>
          <w:lang w:val="en-US"/>
        </w:rPr>
        <w:t xml:space="preserve">. </w:t>
      </w:r>
      <w:r w:rsidR="00B5076D" w:rsidRPr="00B87F1F">
        <w:rPr>
          <w:rFonts w:ascii="Times New Roman" w:hAnsi="Times New Roman" w:cs="Times New Roman"/>
          <w:lang w:val="en-US"/>
        </w:rPr>
        <w:t>Mainly comparisons must be careful which nations they compare</w:t>
      </w:r>
      <w:r w:rsidR="00646CB8" w:rsidRPr="00B87F1F">
        <w:rPr>
          <w:rFonts w:ascii="Times New Roman" w:hAnsi="Times New Roman" w:cs="Times New Roman"/>
          <w:lang w:val="en-US"/>
        </w:rPr>
        <w:t xml:space="preserve"> and</w:t>
      </w:r>
      <w:r w:rsidR="003C3D42" w:rsidRPr="00B87F1F">
        <w:rPr>
          <w:rFonts w:ascii="Times New Roman" w:hAnsi="Times New Roman" w:cs="Times New Roman"/>
          <w:lang w:val="en-US"/>
        </w:rPr>
        <w:t xml:space="preserve"> </w:t>
      </w:r>
      <w:r w:rsidR="00B5076D" w:rsidRPr="00B87F1F">
        <w:rPr>
          <w:rFonts w:ascii="Times New Roman" w:hAnsi="Times New Roman" w:cs="Times New Roman"/>
          <w:lang w:val="en-US"/>
        </w:rPr>
        <w:t xml:space="preserve">giving each unit analyzed equal </w:t>
      </w:r>
      <w:r w:rsidR="00E36ED0" w:rsidRPr="00B87F1F">
        <w:rPr>
          <w:rFonts w:ascii="Times New Roman" w:hAnsi="Times New Roman" w:cs="Times New Roman"/>
          <w:lang w:val="en-US"/>
        </w:rPr>
        <w:t xml:space="preserve">weight </w:t>
      </w:r>
      <w:r w:rsidR="00E36ED0" w:rsidRPr="00B87F1F">
        <w:rPr>
          <w:rFonts w:ascii="Times New Roman" w:hAnsi="Times New Roman" w:cs="Times New Roman"/>
          <w:lang w:val="en-US"/>
        </w:rPr>
        <w:fldChar w:fldCharType="begin"/>
      </w:r>
      <w:r w:rsidR="004969C0" w:rsidRPr="00B87F1F">
        <w:rPr>
          <w:rFonts w:ascii="Times New Roman" w:hAnsi="Times New Roman" w:cs="Times New Roman"/>
          <w:lang w:val="en-US"/>
        </w:rPr>
        <w:instrText xml:space="preserve"> ADDIN ZOTERO_ITEM CSL_CITATION {"citationID":"SK8OA1KQ","properties":{"formattedCitation":"(Kocka 2009, 17)","plainCitation":"(Kocka 2009, 17)","noteIndex":0},"citationItems":[{"id":1807,"uris":["http://zotero.org/users/9264098/items/2MH4MGLC"],"itemData":{"id":1807,"type":"article-journal","abstract":"Abstract\n              While it is necessary to distinguish between analytical and normative statements, the quest for this distinction – and for value-free science – is itself normatively based. Comparative approaches can serve important descriptive and analytical functions. They reduce the danger of methodological nationalism and intellectual parochialism in historical studies. The comparative approach allows to find an acceptable middle ground between the acceptance of basic differences and universalist claims. Method and ethos interact. But a-symmetric comparison shows that scientific productivity and political incorrectness can go together. For this, Max Weber's comparative approach can serve as an example.","container-title":"East Central Europe","DOI":"10.1163/187633009X411430","ISSN":"0094-3037, 1876-3308","issue":"1","journalAbbreviation":"East Cent Eur","page":"12-19","source":"DOI.org (Crossref)","title":"Comparative History: Methodology and Ethos","title-short":"Comparative History","volume":"36","author":[{"family":"Kocka","given":"Jürgen"}],"issued":{"date-parts":[["2009"]]},"citation-key":"kockaComparativeHistoryMethodology2009"},"locator":"17"}],"schema":"https://github.com/citation-style-language/schema/raw/master/csl-citation.json"} </w:instrText>
      </w:r>
      <w:r w:rsidR="00E36ED0" w:rsidRPr="00B87F1F">
        <w:rPr>
          <w:rFonts w:ascii="Times New Roman" w:hAnsi="Times New Roman" w:cs="Times New Roman"/>
          <w:lang w:val="en-US"/>
        </w:rPr>
        <w:fldChar w:fldCharType="separate"/>
      </w:r>
      <w:r w:rsidR="00E36ED0" w:rsidRPr="00B87F1F">
        <w:rPr>
          <w:rFonts w:ascii="Times New Roman" w:hAnsi="Times New Roman" w:cs="Times New Roman"/>
        </w:rPr>
        <w:t>(Kocka 2009, 17)</w:t>
      </w:r>
      <w:r w:rsidR="00E36ED0" w:rsidRPr="00B87F1F">
        <w:rPr>
          <w:rFonts w:ascii="Times New Roman" w:hAnsi="Times New Roman" w:cs="Times New Roman"/>
          <w:lang w:val="en-US"/>
        </w:rPr>
        <w:fldChar w:fldCharType="end"/>
      </w:r>
      <w:r w:rsidR="00B5076D" w:rsidRPr="00B87F1F">
        <w:rPr>
          <w:rFonts w:ascii="Times New Roman" w:hAnsi="Times New Roman" w:cs="Times New Roman"/>
          <w:lang w:val="en-US"/>
        </w:rPr>
        <w:t xml:space="preserve">. </w:t>
      </w:r>
      <w:r w:rsidR="00775A34" w:rsidRPr="00B87F1F">
        <w:rPr>
          <w:rFonts w:ascii="Times New Roman" w:hAnsi="Times New Roman" w:cs="Times New Roman"/>
          <w:lang w:val="en-US"/>
        </w:rPr>
        <w:t xml:space="preserve">Kocka, like Bloch, belongs to a strand that critique comparative </w:t>
      </w:r>
      <w:r w:rsidR="00775A34" w:rsidRPr="00B87F1F">
        <w:rPr>
          <w:rFonts w:ascii="Times New Roman" w:hAnsi="Times New Roman" w:cs="Times New Roman"/>
          <w:lang w:val="en-US"/>
        </w:rPr>
        <w:lastRenderedPageBreak/>
        <w:t xml:space="preserve">history. </w:t>
      </w:r>
      <w:r w:rsidR="00390C53" w:rsidRPr="00B87F1F">
        <w:rPr>
          <w:rFonts w:ascii="Times New Roman" w:hAnsi="Times New Roman" w:cs="Times New Roman"/>
          <w:lang w:val="en-US"/>
        </w:rPr>
        <w:t xml:space="preserve">Although not mentioned explicitly in the text, Kocka critiques the use of </w:t>
      </w:r>
      <w:r w:rsidR="00B4596F" w:rsidRPr="00B87F1F">
        <w:rPr>
          <w:rFonts w:ascii="Times New Roman" w:hAnsi="Times New Roman" w:cs="Times New Roman"/>
          <w:lang w:val="en-US"/>
        </w:rPr>
        <w:t>nations as a unit of comparison since they presuppose rigidity and separation</w:t>
      </w:r>
      <w:r w:rsidR="00390C53" w:rsidRPr="00B87F1F">
        <w:rPr>
          <w:rFonts w:ascii="Times New Roman" w:hAnsi="Times New Roman" w:cs="Times New Roman"/>
          <w:lang w:val="en-US"/>
        </w:rPr>
        <w:t xml:space="preserve"> </w:t>
      </w:r>
      <w:r w:rsidR="00390C53" w:rsidRPr="00B87F1F">
        <w:rPr>
          <w:rFonts w:ascii="Times New Roman" w:hAnsi="Times New Roman" w:cs="Times New Roman"/>
          <w:lang w:val="en-US"/>
        </w:rPr>
        <w:fldChar w:fldCharType="begin"/>
      </w:r>
      <w:r w:rsidR="004969C0" w:rsidRPr="00B87F1F">
        <w:rPr>
          <w:rFonts w:ascii="Times New Roman" w:hAnsi="Times New Roman" w:cs="Times New Roman"/>
          <w:lang w:val="en-US"/>
        </w:rPr>
        <w:instrText xml:space="preserve"> ADDIN ZOTERO_ITEM CSL_CITATION {"citationID":"MXoBk4kJ","properties":{"formattedCitation":"(Macdonald 2013, 5)","plainCitation":"(Macdonald 2013, 5)","noteIndex":0},"citationItems":[{"id":1799,"uris":["http://zotero.org/users/9264098/items/ND2UZK7F"],"itemData":{"id":1799,"type":"document","publisher":"UCL Centre for Transnational History","title":"Transnational History: A Review of Past and Present Scholarship","author":[{"family":"Macdonald","given":"Simon"}],"issued":{"date-parts":[["2013"]]},"citation-key":"macdonaldTransnationalHistoryReview2013"},"locator":"5"}],"schema":"https://github.com/citation-style-language/schema/raw/master/csl-citation.json"} </w:instrText>
      </w:r>
      <w:r w:rsidR="00390C53" w:rsidRPr="00B87F1F">
        <w:rPr>
          <w:rFonts w:ascii="Times New Roman" w:hAnsi="Times New Roman" w:cs="Times New Roman"/>
          <w:lang w:val="en-US"/>
        </w:rPr>
        <w:fldChar w:fldCharType="separate"/>
      </w:r>
      <w:r w:rsidR="00390C53" w:rsidRPr="00B87F1F">
        <w:rPr>
          <w:rFonts w:ascii="Times New Roman" w:hAnsi="Times New Roman" w:cs="Times New Roman"/>
        </w:rPr>
        <w:t>(Macdonald 2013, 5)</w:t>
      </w:r>
      <w:r w:rsidR="00390C53" w:rsidRPr="00B87F1F">
        <w:rPr>
          <w:rFonts w:ascii="Times New Roman" w:hAnsi="Times New Roman" w:cs="Times New Roman"/>
          <w:lang w:val="en-US"/>
        </w:rPr>
        <w:fldChar w:fldCharType="end"/>
      </w:r>
      <w:r w:rsidR="00390C53" w:rsidRPr="00B87F1F">
        <w:rPr>
          <w:rFonts w:ascii="Times New Roman" w:hAnsi="Times New Roman" w:cs="Times New Roman"/>
          <w:lang w:val="en-US"/>
        </w:rPr>
        <w:t xml:space="preserve">. </w:t>
      </w:r>
      <w:r w:rsidR="00646CB8" w:rsidRPr="00B87F1F">
        <w:rPr>
          <w:rFonts w:ascii="Times New Roman" w:hAnsi="Times New Roman" w:cs="Times New Roman"/>
          <w:lang w:val="en-US"/>
        </w:rPr>
        <w:t>In the same vein to Bloch, Kocka critiques the units of comparison not the method itself, the issue is what is being analyzed.</w:t>
      </w:r>
    </w:p>
    <w:p w14:paraId="5DDC4BE3" w14:textId="2B076344" w:rsidR="00DE4148" w:rsidRPr="00B87F1F" w:rsidRDefault="009F4937" w:rsidP="001C50DF">
      <w:pPr>
        <w:spacing w:line="360" w:lineRule="auto"/>
        <w:rPr>
          <w:rFonts w:ascii="Times New Roman" w:hAnsi="Times New Roman" w:cs="Times New Roman"/>
        </w:rPr>
      </w:pPr>
      <w:r w:rsidRPr="00B87F1F">
        <w:rPr>
          <w:rFonts w:ascii="Times New Roman" w:hAnsi="Times New Roman" w:cs="Times New Roman"/>
          <w:lang w:val="en-US"/>
        </w:rPr>
        <w:tab/>
      </w:r>
      <w:r w:rsidR="00AD491F" w:rsidRPr="00B87F1F">
        <w:rPr>
          <w:rFonts w:ascii="Times New Roman" w:hAnsi="Times New Roman" w:cs="Times New Roman"/>
          <w:lang w:val="en-US"/>
        </w:rPr>
        <w:t>Finally,</w:t>
      </w:r>
      <w:r w:rsidRPr="00B87F1F">
        <w:rPr>
          <w:rFonts w:ascii="Times New Roman" w:hAnsi="Times New Roman" w:cs="Times New Roman"/>
          <w:lang w:val="en-US"/>
        </w:rPr>
        <w:t xml:space="preserve"> </w:t>
      </w:r>
      <w:r w:rsidR="00976397" w:rsidRPr="00B87F1F">
        <w:rPr>
          <w:rFonts w:ascii="Times New Roman" w:hAnsi="Times New Roman" w:cs="Times New Roman"/>
          <w:lang w:val="en-US"/>
        </w:rPr>
        <w:t>Hobsbawm</w:t>
      </w:r>
      <w:r w:rsidR="00FF3751" w:rsidRPr="00B87F1F">
        <w:rPr>
          <w:rFonts w:ascii="Times New Roman" w:hAnsi="Times New Roman" w:cs="Times New Roman"/>
          <w:lang w:val="en-US"/>
        </w:rPr>
        <w:t xml:space="preserve">’s </w:t>
      </w:r>
      <w:r w:rsidR="00D053C6" w:rsidRPr="00B87F1F">
        <w:rPr>
          <w:rFonts w:ascii="Times New Roman" w:hAnsi="Times New Roman" w:cs="Times New Roman"/>
          <w:lang w:val="en-US"/>
        </w:rPr>
        <w:t>text provides an example of comparisons. “</w:t>
      </w:r>
      <w:r w:rsidR="003B1431" w:rsidRPr="00B87F1F">
        <w:rPr>
          <w:rFonts w:ascii="Times New Roman" w:hAnsi="Times New Roman" w:cs="Times New Roman"/>
        </w:rPr>
        <w:t xml:space="preserve">In France as well as in England the shoemaker was known for his love of liberty and </w:t>
      </w:r>
      <w:r w:rsidR="00F71BFE" w:rsidRPr="00B87F1F">
        <w:rPr>
          <w:rFonts w:ascii="Times New Roman" w:hAnsi="Times New Roman" w:cs="Times New Roman"/>
        </w:rPr>
        <w:t>h</w:t>
      </w:r>
      <w:r w:rsidR="003B1431" w:rsidRPr="00B87F1F">
        <w:rPr>
          <w:rFonts w:ascii="Times New Roman" w:hAnsi="Times New Roman" w:cs="Times New Roman"/>
        </w:rPr>
        <w:t xml:space="preserve">is role as village politician. Shoemakers were admired for </w:t>
      </w:r>
      <w:r w:rsidR="00F71BFE" w:rsidRPr="00B87F1F">
        <w:rPr>
          <w:rFonts w:ascii="Times New Roman" w:hAnsi="Times New Roman" w:cs="Times New Roman"/>
        </w:rPr>
        <w:t>‘</w:t>
      </w:r>
      <w:r w:rsidR="003B1431" w:rsidRPr="00B87F1F">
        <w:rPr>
          <w:rFonts w:ascii="Times New Roman" w:hAnsi="Times New Roman" w:cs="Times New Roman"/>
        </w:rPr>
        <w:t>independence of their opinions</w:t>
      </w:r>
      <w:r w:rsidR="00F71BFE" w:rsidRPr="00B87F1F">
        <w:rPr>
          <w:rFonts w:ascii="Times New Roman" w:hAnsi="Times New Roman" w:cs="Times New Roman"/>
        </w:rPr>
        <w:t>’</w:t>
      </w:r>
      <w:r w:rsidR="003B1431" w:rsidRPr="00B87F1F">
        <w:rPr>
          <w:rFonts w:ascii="Times New Roman" w:hAnsi="Times New Roman" w:cs="Times New Roman"/>
        </w:rPr>
        <w:t xml:space="preserve">. </w:t>
      </w:r>
      <w:r w:rsidR="00F71BFE" w:rsidRPr="00B87F1F">
        <w:rPr>
          <w:rFonts w:ascii="Times New Roman" w:hAnsi="Times New Roman" w:cs="Times New Roman"/>
        </w:rPr>
        <w:t>‘</w:t>
      </w:r>
      <w:r w:rsidR="003B1431" w:rsidRPr="00B87F1F">
        <w:rPr>
          <w:rFonts w:ascii="Times New Roman" w:hAnsi="Times New Roman" w:cs="Times New Roman"/>
        </w:rPr>
        <w:t>The freedom of the people</w:t>
      </w:r>
      <w:r w:rsidR="00F71BFE" w:rsidRPr="00B87F1F">
        <w:rPr>
          <w:rFonts w:ascii="Times New Roman" w:hAnsi="Times New Roman" w:cs="Times New Roman"/>
        </w:rPr>
        <w:t>’</w:t>
      </w:r>
      <w:r w:rsidR="003B1431" w:rsidRPr="00B87F1F">
        <w:rPr>
          <w:rFonts w:ascii="Times New Roman" w:hAnsi="Times New Roman" w:cs="Times New Roman"/>
        </w:rPr>
        <w:t xml:space="preserve">, said one writer, </w:t>
      </w:r>
      <w:r w:rsidR="00F71BFE" w:rsidRPr="00B87F1F">
        <w:rPr>
          <w:rFonts w:ascii="Times New Roman" w:hAnsi="Times New Roman" w:cs="Times New Roman"/>
        </w:rPr>
        <w:t>‘</w:t>
      </w:r>
      <w:r w:rsidR="003B1431" w:rsidRPr="00B87F1F">
        <w:rPr>
          <w:rFonts w:ascii="Times New Roman" w:hAnsi="Times New Roman" w:cs="Times New Roman"/>
        </w:rPr>
        <w:t>is expressed in their demeanour</w:t>
      </w:r>
      <w:r w:rsidR="00F71BFE" w:rsidRPr="00B87F1F">
        <w:rPr>
          <w:rFonts w:ascii="Times New Roman" w:hAnsi="Times New Roman" w:cs="Times New Roman"/>
        </w:rPr>
        <w:t>.’</w:t>
      </w:r>
      <w:r w:rsidR="00D053C6" w:rsidRPr="00B87F1F">
        <w:rPr>
          <w:rFonts w:ascii="Times New Roman" w:hAnsi="Times New Roman" w:cs="Times New Roman"/>
        </w:rPr>
        <w:t xml:space="preserve">” </w:t>
      </w:r>
      <w:r w:rsidR="00D053C6" w:rsidRPr="00B87F1F">
        <w:rPr>
          <w:rFonts w:ascii="Times New Roman" w:hAnsi="Times New Roman" w:cs="Times New Roman"/>
        </w:rPr>
        <w:fldChar w:fldCharType="begin"/>
      </w:r>
      <w:r w:rsidR="004969C0" w:rsidRPr="00B87F1F">
        <w:rPr>
          <w:rFonts w:ascii="Times New Roman" w:hAnsi="Times New Roman" w:cs="Times New Roman"/>
        </w:rPr>
        <w:instrText xml:space="preserve"> ADDIN ZOTERO_ITEM CSL_CITATION {"citationID":"dSToFIcw","properties":{"formattedCitation":"(Hobsbawm and Scott 1980, 93)","plainCitation":"(Hobsbawm and Scott 1980, 93)","noteIndex":0},"citationItems":[{"id":1810,"uris":["http://zotero.org/users/9264098/items/BZQZXQUC"],"itemData":{"id":1810,"type":"article-journal","container-title":"Past and Present","DOI":"10.1093/past/89.1.86","ISSN":"0031-2746, 1477-464X","issue":"1","journalAbbreviation":"Past and Present","language":"en","page":"86-114","source":"DOI.org (Crossref)","title":"Political Shoemakers","volume":"89","author":[{"family":"Hobsbawm","given":"E. J."},{"family":"Scott","given":"Joan Wallach"}],"issued":{"date-parts":[["1980"]]},"citation-key":"hobsbawmPoliticalShoemakers1980"},"locator":"93","label":"page"}],"schema":"https://github.com/citation-style-language/schema/raw/master/csl-citation.json"} </w:instrText>
      </w:r>
      <w:r w:rsidR="00D053C6" w:rsidRPr="00B87F1F">
        <w:rPr>
          <w:rFonts w:ascii="Times New Roman" w:hAnsi="Times New Roman" w:cs="Times New Roman"/>
        </w:rPr>
        <w:fldChar w:fldCharType="separate"/>
      </w:r>
      <w:r w:rsidR="003B1431" w:rsidRPr="00B87F1F">
        <w:rPr>
          <w:rFonts w:ascii="Times New Roman" w:hAnsi="Times New Roman" w:cs="Times New Roman"/>
        </w:rPr>
        <w:t>(Hobsbawm and Scott 1980, 93)</w:t>
      </w:r>
      <w:r w:rsidR="00D053C6" w:rsidRPr="00B87F1F">
        <w:rPr>
          <w:rFonts w:ascii="Times New Roman" w:hAnsi="Times New Roman" w:cs="Times New Roman"/>
        </w:rPr>
        <w:fldChar w:fldCharType="end"/>
      </w:r>
      <w:r w:rsidR="003848EB" w:rsidRPr="00B87F1F">
        <w:rPr>
          <w:rFonts w:ascii="Times New Roman" w:hAnsi="Times New Roman" w:cs="Times New Roman"/>
        </w:rPr>
        <w:t xml:space="preserve">. </w:t>
      </w:r>
      <w:r w:rsidR="00693C9D" w:rsidRPr="00B87F1F">
        <w:rPr>
          <w:rFonts w:ascii="Times New Roman" w:hAnsi="Times New Roman" w:cs="Times New Roman"/>
        </w:rPr>
        <w:t xml:space="preserve">This particular quote summarizes </w:t>
      </w:r>
      <w:r w:rsidR="002E7ACB" w:rsidRPr="00B87F1F">
        <w:rPr>
          <w:rFonts w:ascii="Times New Roman" w:hAnsi="Times New Roman" w:cs="Times New Roman"/>
        </w:rPr>
        <w:t xml:space="preserve">Hobsbawm’s </w:t>
      </w:r>
      <w:r w:rsidR="00674539" w:rsidRPr="00B87F1F">
        <w:rPr>
          <w:rFonts w:ascii="Times New Roman" w:hAnsi="Times New Roman" w:cs="Times New Roman"/>
        </w:rPr>
        <w:t>main thesis in this text</w:t>
      </w:r>
      <w:r w:rsidR="00693C9D" w:rsidRPr="00B87F1F">
        <w:rPr>
          <w:rFonts w:ascii="Times New Roman" w:hAnsi="Times New Roman" w:cs="Times New Roman"/>
        </w:rPr>
        <w:t xml:space="preserve">; cobblers throughout history have been associated with revolutionary and radicalism </w:t>
      </w:r>
      <w:r w:rsidR="00342216" w:rsidRPr="00B87F1F">
        <w:rPr>
          <w:rFonts w:ascii="Times New Roman" w:hAnsi="Times New Roman" w:cs="Times New Roman"/>
        </w:rPr>
        <w:fldChar w:fldCharType="begin"/>
      </w:r>
      <w:r w:rsidR="004969C0" w:rsidRPr="00B87F1F">
        <w:rPr>
          <w:rFonts w:ascii="Times New Roman" w:hAnsi="Times New Roman" w:cs="Times New Roman"/>
        </w:rPr>
        <w:instrText xml:space="preserve"> ADDIN ZOTERO_ITEM CSL_CITATION {"citationID":"YugKPyXJ","properties":{"formattedCitation":"(Hobsbawm and Scott 1980, 87)","plainCitation":"(Hobsbawm and Scott 1980, 87)","noteIndex":0},"citationItems":[{"id":1810,"uris":["http://zotero.org/users/9264098/items/BZQZXQUC"],"itemData":{"id":1810,"type":"article-journal","container-title":"Past and Present","DOI":"10.1093/past/89.1.86","ISSN":"0031-2746, 1477-464X","issue":"1","journalAbbreviation":"Past and Present","language":"en","page":"86-114","source":"DOI.org (Crossref)","title":"Political Shoemakers","volume":"89","author":[{"family":"Hobsbawm","given":"E. J."},{"family":"Scott","given":"Joan Wallach"}],"issued":{"date-parts":[["1980"]]},"citation-key":"hobsbawmPoliticalShoemakers1980"},"locator":"87"}],"schema":"https://github.com/citation-style-language/schema/raw/master/csl-citation.json"} </w:instrText>
      </w:r>
      <w:r w:rsidR="00342216" w:rsidRPr="00B87F1F">
        <w:rPr>
          <w:rFonts w:ascii="Times New Roman" w:hAnsi="Times New Roman" w:cs="Times New Roman"/>
        </w:rPr>
        <w:fldChar w:fldCharType="separate"/>
      </w:r>
      <w:r w:rsidR="00342216" w:rsidRPr="00B87F1F">
        <w:rPr>
          <w:rFonts w:ascii="Times New Roman" w:hAnsi="Times New Roman" w:cs="Times New Roman"/>
        </w:rPr>
        <w:t>(Hobsbawm and Scott 1980, 87)</w:t>
      </w:r>
      <w:r w:rsidR="00342216" w:rsidRPr="00B87F1F">
        <w:rPr>
          <w:rFonts w:ascii="Times New Roman" w:hAnsi="Times New Roman" w:cs="Times New Roman"/>
        </w:rPr>
        <w:fldChar w:fldCharType="end"/>
      </w:r>
      <w:r w:rsidR="00342216" w:rsidRPr="00B87F1F">
        <w:rPr>
          <w:rFonts w:ascii="Times New Roman" w:hAnsi="Times New Roman" w:cs="Times New Roman"/>
        </w:rPr>
        <w:t xml:space="preserve">. </w:t>
      </w:r>
      <w:r w:rsidR="00F71BFE" w:rsidRPr="00B87F1F">
        <w:rPr>
          <w:rFonts w:ascii="Times New Roman" w:hAnsi="Times New Roman" w:cs="Times New Roman"/>
        </w:rPr>
        <w:t>The text affirms the revolutionary nature of the cobblers by examining their presence in revolutionary movements as well as the reasons for this radicalism.</w:t>
      </w:r>
      <w:r w:rsidR="00693C9D" w:rsidRPr="00B87F1F">
        <w:rPr>
          <w:rFonts w:ascii="Times New Roman" w:hAnsi="Times New Roman" w:cs="Times New Roman"/>
        </w:rPr>
        <w:t xml:space="preserve"> He does this by providing examples of cobblers embroiled in political action </w:t>
      </w:r>
      <w:r w:rsidR="00693C9D" w:rsidRPr="00B87F1F">
        <w:rPr>
          <w:rFonts w:ascii="Times New Roman" w:hAnsi="Times New Roman" w:cs="Times New Roman"/>
        </w:rPr>
        <w:fldChar w:fldCharType="begin"/>
      </w:r>
      <w:r w:rsidR="004969C0" w:rsidRPr="00B87F1F">
        <w:rPr>
          <w:rFonts w:ascii="Times New Roman" w:hAnsi="Times New Roman" w:cs="Times New Roman"/>
        </w:rPr>
        <w:instrText xml:space="preserve"> ADDIN ZOTERO_ITEM CSL_CITATION {"citationID":"0IBRrEF4","properties":{"formattedCitation":"(Hobsbawm and Scott 1980, 93)","plainCitation":"(Hobsbawm and Scott 1980, 93)","noteIndex":0},"citationItems":[{"id":1810,"uris":["http://zotero.org/users/9264098/items/BZQZXQUC"],"itemData":{"id":1810,"type":"article-journal","container-title":"Past and Present","DOI":"10.1093/past/89.1.86","ISSN":"0031-2746, 1477-464X","issue":"1","journalAbbreviation":"Past and Present","language":"en","page":"86-114","source":"DOI.org (Crossref)","title":"Political Shoemakers","volume":"89","author":[{"family":"Hobsbawm","given":"E. J."},{"family":"Scott","given":"Joan Wallach"}],"issued":{"date-parts":[["1980"]]},"citation-key":"hobsbawmPoliticalShoemakers1980"},"locator":"93","label":"page"}],"schema":"https://github.com/citation-style-language/schema/raw/master/csl-citation.json"} </w:instrText>
      </w:r>
      <w:r w:rsidR="00693C9D" w:rsidRPr="00B87F1F">
        <w:rPr>
          <w:rFonts w:ascii="Times New Roman" w:hAnsi="Times New Roman" w:cs="Times New Roman"/>
        </w:rPr>
        <w:fldChar w:fldCharType="separate"/>
      </w:r>
      <w:r w:rsidR="00693C9D" w:rsidRPr="00B87F1F">
        <w:rPr>
          <w:rFonts w:ascii="Times New Roman" w:hAnsi="Times New Roman" w:cs="Times New Roman"/>
        </w:rPr>
        <w:t>(Hobsbawm and Scott 1980, 93)</w:t>
      </w:r>
      <w:r w:rsidR="00693C9D" w:rsidRPr="00B87F1F">
        <w:rPr>
          <w:rFonts w:ascii="Times New Roman" w:hAnsi="Times New Roman" w:cs="Times New Roman"/>
        </w:rPr>
        <w:fldChar w:fldCharType="end"/>
      </w:r>
      <w:r w:rsidR="00A20523" w:rsidRPr="00B87F1F">
        <w:rPr>
          <w:rFonts w:ascii="Times New Roman" w:hAnsi="Times New Roman" w:cs="Times New Roman"/>
        </w:rPr>
        <w:t xml:space="preserve">. Crucially he also traces the imaginary of the revolutionary shoemaker </w:t>
      </w:r>
      <w:r w:rsidR="00CF761F" w:rsidRPr="00B87F1F">
        <w:rPr>
          <w:rFonts w:ascii="Times New Roman" w:hAnsi="Times New Roman" w:cs="Times New Roman"/>
        </w:rPr>
        <w:t>throughout time; the</w:t>
      </w:r>
      <w:r w:rsidR="005730FD" w:rsidRPr="00B87F1F">
        <w:rPr>
          <w:rFonts w:ascii="Times New Roman" w:hAnsi="Times New Roman" w:cs="Times New Roman"/>
        </w:rPr>
        <w:t xml:space="preserve"> association of cobblers and radicalism arising during industrialization </w:t>
      </w:r>
      <w:r w:rsidR="00CF761F" w:rsidRPr="00B87F1F">
        <w:rPr>
          <w:rFonts w:ascii="Times New Roman" w:hAnsi="Times New Roman" w:cs="Times New Roman"/>
        </w:rPr>
        <w:fldChar w:fldCharType="begin"/>
      </w:r>
      <w:r w:rsidR="004969C0" w:rsidRPr="00B87F1F">
        <w:rPr>
          <w:rFonts w:ascii="Times New Roman" w:hAnsi="Times New Roman" w:cs="Times New Roman"/>
        </w:rPr>
        <w:instrText xml:space="preserve"> ADDIN ZOTERO_ITEM CSL_CITATION {"citationID":"ZAQVFdPV","properties":{"formattedCitation":"(Hobsbawm and Scott 1980, 105)","plainCitation":"(Hobsbawm and Scott 1980, 105)","noteIndex":0},"citationItems":[{"id":1810,"uris":["http://zotero.org/users/9264098/items/BZQZXQUC"],"itemData":{"id":1810,"type":"article-journal","container-title":"Past and Present","DOI":"10.1093/past/89.1.86","ISSN":"0031-2746, 1477-464X","issue":"1","journalAbbreviation":"Past and Present","language":"en","page":"86-114","source":"DOI.org (Crossref)","title":"Political Shoemakers","volume":"89","author":[{"family":"Hobsbawm","given":"E. J."},{"family":"Scott","given":"Joan Wallach"}],"issued":{"date-parts":[["1980"]]},"citation-key":"hobsbawmPoliticalShoemakers1980"},"locator":"105"}],"schema":"https://github.com/citation-style-language/schema/raw/master/csl-citation.json"} </w:instrText>
      </w:r>
      <w:r w:rsidR="00CF761F" w:rsidRPr="00B87F1F">
        <w:rPr>
          <w:rFonts w:ascii="Times New Roman" w:hAnsi="Times New Roman" w:cs="Times New Roman"/>
        </w:rPr>
        <w:fldChar w:fldCharType="separate"/>
      </w:r>
      <w:r w:rsidR="00CF761F" w:rsidRPr="00B87F1F">
        <w:rPr>
          <w:rFonts w:ascii="Times New Roman" w:hAnsi="Times New Roman" w:cs="Times New Roman"/>
        </w:rPr>
        <w:t>(Hobsbawm and Scott 1980, 105)</w:t>
      </w:r>
      <w:r w:rsidR="00CF761F" w:rsidRPr="00B87F1F">
        <w:rPr>
          <w:rFonts w:ascii="Times New Roman" w:hAnsi="Times New Roman" w:cs="Times New Roman"/>
        </w:rPr>
        <w:fldChar w:fldCharType="end"/>
      </w:r>
      <w:r w:rsidR="00E317C5" w:rsidRPr="00B87F1F">
        <w:rPr>
          <w:rFonts w:ascii="Times New Roman" w:hAnsi="Times New Roman" w:cs="Times New Roman"/>
        </w:rPr>
        <w:t xml:space="preserve"> and their decrease in numbers with the turn of the twentieth century </w:t>
      </w:r>
      <w:r w:rsidR="00E317C5" w:rsidRPr="00B87F1F">
        <w:rPr>
          <w:rFonts w:ascii="Times New Roman" w:hAnsi="Times New Roman" w:cs="Times New Roman"/>
        </w:rPr>
        <w:fldChar w:fldCharType="begin"/>
      </w:r>
      <w:r w:rsidR="004969C0" w:rsidRPr="00B87F1F">
        <w:rPr>
          <w:rFonts w:ascii="Times New Roman" w:hAnsi="Times New Roman" w:cs="Times New Roman"/>
        </w:rPr>
        <w:instrText xml:space="preserve"> ADDIN ZOTERO_ITEM CSL_CITATION {"citationID":"TzM4K010","properties":{"formattedCitation":"(Hobsbawm and Scott 1980, 110)","plainCitation":"(Hobsbawm and Scott 1980, 110)","noteIndex":0},"citationItems":[{"id":1810,"uris":["http://zotero.org/users/9264098/items/BZQZXQUC"],"itemData":{"id":1810,"type":"article-journal","container-title":"Past and Present","DOI":"10.1093/past/89.1.86","ISSN":"0031-2746, 1477-464X","issue":"1","journalAbbreviation":"Past and Present","language":"en","page":"86-114","source":"DOI.org (Crossref)","title":"Political Shoemakers","volume":"89","author":[{"family":"Hobsbawm","given":"E. J."},{"family":"Scott","given":"Joan Wallach"}],"issued":{"date-parts":[["1980"]]},"citation-key":"hobsbawmPoliticalShoemakers1980"},"locator":"110"}],"schema":"https://github.com/citation-style-language/schema/raw/master/csl-citation.json"} </w:instrText>
      </w:r>
      <w:r w:rsidR="00E317C5" w:rsidRPr="00B87F1F">
        <w:rPr>
          <w:rFonts w:ascii="Times New Roman" w:hAnsi="Times New Roman" w:cs="Times New Roman"/>
        </w:rPr>
        <w:fldChar w:fldCharType="separate"/>
      </w:r>
      <w:r w:rsidR="00E317C5" w:rsidRPr="00B87F1F">
        <w:rPr>
          <w:rFonts w:ascii="Times New Roman" w:hAnsi="Times New Roman" w:cs="Times New Roman"/>
        </w:rPr>
        <w:t>(Hobsbawm and Scott 1980, 110)</w:t>
      </w:r>
      <w:r w:rsidR="00E317C5" w:rsidRPr="00B87F1F">
        <w:rPr>
          <w:rFonts w:ascii="Times New Roman" w:hAnsi="Times New Roman" w:cs="Times New Roman"/>
        </w:rPr>
        <w:fldChar w:fldCharType="end"/>
      </w:r>
      <w:r w:rsidR="00E317C5" w:rsidRPr="00B87F1F">
        <w:rPr>
          <w:rFonts w:ascii="Times New Roman" w:hAnsi="Times New Roman" w:cs="Times New Roman"/>
        </w:rPr>
        <w:t xml:space="preserve">. </w:t>
      </w:r>
      <w:r w:rsidR="00FF3751" w:rsidRPr="00B87F1F">
        <w:rPr>
          <w:rFonts w:ascii="Times New Roman" w:hAnsi="Times New Roman" w:cs="Times New Roman"/>
        </w:rPr>
        <w:t xml:space="preserve">The text here analyses a </w:t>
      </w:r>
      <w:r w:rsidR="00A311E1" w:rsidRPr="00B87F1F">
        <w:rPr>
          <w:rFonts w:ascii="Times New Roman" w:hAnsi="Times New Roman" w:cs="Times New Roman"/>
        </w:rPr>
        <w:t>social phenomenon</w:t>
      </w:r>
      <w:r w:rsidR="00FF3751" w:rsidRPr="00B87F1F">
        <w:rPr>
          <w:rFonts w:ascii="Times New Roman" w:hAnsi="Times New Roman" w:cs="Times New Roman"/>
        </w:rPr>
        <w:t xml:space="preserve"> by looking at various different countries, these different countries and examples are used to support the main thesis of the text. By using several countries Hobsbawm is able to affirm that this social radicalism occurred in the profession and was not dependant on the country. In addition to that, by demonstrating the decrease in numbers during the 20th century he is also able to place the phenomena in a very particular moment in time.</w:t>
      </w:r>
      <w:r w:rsidR="00A311E1" w:rsidRPr="00B87F1F">
        <w:rPr>
          <w:rFonts w:ascii="Times New Roman" w:hAnsi="Times New Roman" w:cs="Times New Roman"/>
        </w:rPr>
        <w:t xml:space="preserve"> This draws back to the criticisms of the comparative method. Bloch advocate for looking for broader terms of comparison, beyond that of the nation state </w:t>
      </w:r>
      <w:r w:rsidR="00A311E1" w:rsidRPr="00B87F1F">
        <w:rPr>
          <w:rFonts w:ascii="Times New Roman" w:hAnsi="Times New Roman" w:cs="Times New Roman"/>
        </w:rPr>
        <w:fldChar w:fldCharType="begin"/>
      </w:r>
      <w:r w:rsidR="004969C0" w:rsidRPr="00B87F1F">
        <w:rPr>
          <w:rFonts w:ascii="Times New Roman" w:hAnsi="Times New Roman" w:cs="Times New Roman"/>
        </w:rPr>
        <w:instrText xml:space="preserve"> ADDIN ZOTERO_ITEM CSL_CITATION {"citationID":"bNNltySN","properties":{"formattedCitation":"(Macdonald 2013, 7)","plainCitation":"(Macdonald 2013, 7)","noteIndex":0},"citationItems":[{"id":1799,"uris":["http://zotero.org/users/9264098/items/ND2UZK7F"],"itemData":{"id":1799,"type":"document","publisher":"UCL Centre for Transnational History","title":"Transnational History: A Review of Past and Present Scholarship","author":[{"family":"Macdonald","given":"Simon"}],"issued":{"date-parts":[["2013"]]},"citation-key":"macdonaldTransnationalHistoryReview2013"},"locator":"7","label":"page"}],"schema":"https://github.com/citation-style-language/schema/raw/master/csl-citation.json"} </w:instrText>
      </w:r>
      <w:r w:rsidR="00A311E1" w:rsidRPr="00B87F1F">
        <w:rPr>
          <w:rFonts w:ascii="Times New Roman" w:hAnsi="Times New Roman" w:cs="Times New Roman"/>
        </w:rPr>
        <w:fldChar w:fldCharType="separate"/>
      </w:r>
      <w:r w:rsidR="00A311E1" w:rsidRPr="00B87F1F">
        <w:rPr>
          <w:rFonts w:ascii="Times New Roman" w:hAnsi="Times New Roman" w:cs="Times New Roman"/>
        </w:rPr>
        <w:t>(Macdonald 2013, 7)</w:t>
      </w:r>
      <w:r w:rsidR="00A311E1" w:rsidRPr="00B87F1F">
        <w:rPr>
          <w:rFonts w:ascii="Times New Roman" w:hAnsi="Times New Roman" w:cs="Times New Roman"/>
        </w:rPr>
        <w:fldChar w:fldCharType="end"/>
      </w:r>
      <w:r w:rsidR="00A311E1" w:rsidRPr="00B87F1F">
        <w:rPr>
          <w:rFonts w:ascii="Times New Roman" w:hAnsi="Times New Roman" w:cs="Times New Roman"/>
        </w:rPr>
        <w:t xml:space="preserve">. Hobsbawm’s text mainly compares the forces and ways in which cobblers were revolutionary, without restriction to the boundaries of nations. The unit of nations in Hobsbawm’s text </w:t>
      </w:r>
      <w:r w:rsidR="006C0CEC" w:rsidRPr="00B87F1F">
        <w:rPr>
          <w:rFonts w:ascii="Times New Roman" w:hAnsi="Times New Roman" w:cs="Times New Roman"/>
        </w:rPr>
        <w:t xml:space="preserve">instead is </w:t>
      </w:r>
      <w:r w:rsidR="00A311E1" w:rsidRPr="00B87F1F">
        <w:rPr>
          <w:rFonts w:ascii="Times New Roman" w:hAnsi="Times New Roman" w:cs="Times New Roman"/>
        </w:rPr>
        <w:t xml:space="preserve">used to further cement the international occurrence of this phenomena. </w:t>
      </w:r>
    </w:p>
    <w:p w14:paraId="7B0C3F5C" w14:textId="62D03394" w:rsidR="008D6831" w:rsidRPr="008D6831" w:rsidRDefault="008D6831" w:rsidP="001C50DF">
      <w:pPr>
        <w:spacing w:line="360" w:lineRule="auto"/>
        <w:ind w:firstLine="720"/>
        <w:rPr>
          <w:rFonts w:ascii="Times New Roman" w:hAnsi="Times New Roman" w:cs="Times New Roman"/>
        </w:rPr>
      </w:pPr>
      <w:r w:rsidRPr="008D6831">
        <w:rPr>
          <w:rFonts w:ascii="Times New Roman" w:hAnsi="Times New Roman" w:cs="Times New Roman"/>
        </w:rPr>
        <w:t xml:space="preserve">Taking the prior texts as guidance this paper proposes the theme of the kipper und wiper that occurred during the thirty years war. This was a crisis of coinage which led to currencies being hyperinflated </w:t>
      </w:r>
      <w:r w:rsidRPr="008D6831">
        <w:rPr>
          <w:rFonts w:ascii="Times New Roman" w:hAnsi="Times New Roman" w:cs="Times New Roman"/>
        </w:rPr>
        <w:fldChar w:fldCharType="begin"/>
      </w:r>
      <w:r w:rsidRPr="008D6831">
        <w:rPr>
          <w:rFonts w:ascii="Times New Roman" w:hAnsi="Times New Roman" w:cs="Times New Roman"/>
        </w:rPr>
        <w:instrText xml:space="preserve"> ADDIN ZOTERO_ITEM CSL_CITATION {"citationID":"GhA71zct","properties":{"formattedCitation":"(Dash 2012)","plainCitation":"(Dash 2012)","noteIndex":0},"citationItems":[{"id":1814,"uris":["http://zotero.org/users/9264098/items/4YAVAYR9"],"itemData":{"id":1814,"type":"webpage","abstract":"It is tempting to think of the German hyperinflation of 1923 as a uniquely awful event, but it pales in comparison to what happened in the 17th century","container-title":"Smithsonian Magazine","language":"en","note":"section: History, World History, , Blogs, , Past Imperfect, , Articles","title":"“Kipper und Wipper”: Rogue Traders, Rogue Princes, Rogue Bishops and the German Financial Meltdown of 1621-23","title-short":"“Kipper und Wipper”","URL":"https://www.smithsonianmag.com/history/kipper-und-wipper-rogue-traders-rogue-princes-rogue-bishops-and-the-german-financial-meltdown-of-1621-23-167320079/","author":[{"family":"Dash","given":"Mike"}],"accessed":{"date-parts":[["2024",9,9]]},"issued":{"date-parts":[["2012",3,29]]},"citation-key":"dashKipperUndWipper2012a"}}],"schema":"https://github.com/citation-style-language/schema/raw/master/csl-citation.json"} </w:instrText>
      </w:r>
      <w:r w:rsidRPr="008D6831">
        <w:rPr>
          <w:rFonts w:ascii="Times New Roman" w:hAnsi="Times New Roman" w:cs="Times New Roman"/>
        </w:rPr>
        <w:fldChar w:fldCharType="separate"/>
      </w:r>
      <w:r w:rsidRPr="008D6831">
        <w:rPr>
          <w:rFonts w:ascii="Times New Roman" w:hAnsi="Times New Roman" w:cs="Times New Roman"/>
        </w:rPr>
        <w:t>(Dash 2012)</w:t>
      </w:r>
      <w:r w:rsidRPr="008D6831">
        <w:rPr>
          <w:rFonts w:ascii="Times New Roman" w:hAnsi="Times New Roman" w:cs="Times New Roman"/>
        </w:rPr>
        <w:fldChar w:fldCharType="end"/>
      </w:r>
      <w:r w:rsidRPr="008D6831">
        <w:rPr>
          <w:rFonts w:ascii="Times New Roman" w:hAnsi="Times New Roman" w:cs="Times New Roman"/>
        </w:rPr>
        <w:t xml:space="preserve">. The international nature of coinage, especially for small states makes it a very apt phenomena to analyse </w:t>
      </w:r>
      <w:r w:rsidRPr="008D6831">
        <w:rPr>
          <w:rFonts w:ascii="Times New Roman" w:hAnsi="Times New Roman" w:cs="Times New Roman"/>
        </w:rPr>
        <w:fldChar w:fldCharType="begin"/>
      </w:r>
      <w:r w:rsidRPr="008D6831">
        <w:rPr>
          <w:rFonts w:ascii="Times New Roman" w:hAnsi="Times New Roman" w:cs="Times New Roman"/>
        </w:rPr>
        <w:instrText xml:space="preserve"> ADDIN ZOTERO_ITEM CSL_CITATION {"citationID":"Wmw3VK4V","properties":{"formattedCitation":"(Kindleberger 1991, 153)","plainCitation":"(Kindleberger 1991, 153)","noteIndex":0},"citationItems":[{"id":1104,"uris":["http://zotero.org/users/9264098/items/EX35T2K3"],"itemData":{"id":1104,"type":"article-journal","abstract":"Various states in the Holy Roman Empire prepared for the Thirty Years' War by creating new mints and debasing the subsidiary coinage. The process spread through Gresham's Law: bad money was taken by debasing states to their neighbors and exchanged for good. The neighbor typically defended itself by debasing its own coin. The resulting hyperinflation was terminated early in the war by an agreement to return to the Imperial Augsburg Ordinance of 1559. The\n              Kipper- und Wipperzeit\n              , as the period is called, illuminates the geographic spread of financial crises, German hypennflations of this century, and current proposals for “free banking.”","container-title":"The Journal of Economic History","DOI":"10.1017/S0022050700038407","ISSN":"0022-0507, 1471-6372","issue":"1","journalAbbreviation":"J. Eco. History","language":"en","page":"149-175","source":"DOI.org (Crossref)","title":"The Economic Crisis of 1619 to 1623","volume":"51","author":[{"family":"Kindleberger","given":"Charles P."}],"issued":{"date-parts":[["1991",3]]},"citation-key":"kindlebergerEconomicCrisis16191991"},"locator":"153"}],"schema":"https://github.com/citation-style-language/schema/raw/master/csl-citation.json"} </w:instrText>
      </w:r>
      <w:r w:rsidRPr="008D6831">
        <w:rPr>
          <w:rFonts w:ascii="Times New Roman" w:hAnsi="Times New Roman" w:cs="Times New Roman"/>
        </w:rPr>
        <w:fldChar w:fldCharType="separate"/>
      </w:r>
      <w:r w:rsidRPr="008D6831">
        <w:rPr>
          <w:rFonts w:ascii="Times New Roman" w:hAnsi="Times New Roman" w:cs="Times New Roman"/>
        </w:rPr>
        <w:t>(Kindleberger 1991, 153)</w:t>
      </w:r>
      <w:r w:rsidRPr="008D6831">
        <w:rPr>
          <w:rFonts w:ascii="Times New Roman" w:hAnsi="Times New Roman" w:cs="Times New Roman"/>
        </w:rPr>
        <w:fldChar w:fldCharType="end"/>
      </w:r>
      <w:r w:rsidRPr="008D6831">
        <w:rPr>
          <w:rFonts w:ascii="Times New Roman" w:hAnsi="Times New Roman" w:cs="Times New Roman"/>
        </w:rPr>
        <w:t xml:space="preserve">. In particular one of the most prolific debates currently is the effects that neighbouring states and trade had on each other </w:t>
      </w:r>
      <w:r w:rsidRPr="008D6831">
        <w:rPr>
          <w:rFonts w:ascii="Times New Roman" w:hAnsi="Times New Roman" w:cs="Times New Roman"/>
        </w:rPr>
        <w:fldChar w:fldCharType="begin"/>
      </w:r>
      <w:r w:rsidRPr="008D6831">
        <w:rPr>
          <w:rFonts w:ascii="Times New Roman" w:hAnsi="Times New Roman" w:cs="Times New Roman"/>
        </w:rPr>
        <w:instrText xml:space="preserve"> ADDIN ZOTERO_ITEM CSL_CITATION {"citationID":"APzrKn4l","properties":{"formattedCitation":"(Kindleberger 1991, 159; Paas 2012, 12)","plainCitation":"(Kindleberger 1991, 159; Paas 2012, 12)","noteIndex":0},"citationItems":[{"id":1104,"uris":["http://zotero.org/users/9264098/items/EX35T2K3"],"itemData":{"id":1104,"type":"article-journal","abstract":"Various states in the Holy Roman Empire prepared for the Thirty Years' War by creating new mints and debasing the subsidiary coinage. The process spread through Gresham's Law: bad money was taken by debasing states to their neighbors and exchanged for good. The neighbor typically defended itself by debasing its own coin. The resulting hyperinflation was terminated early in the war by an agreement to return to the Imperial Augsburg Ordinance of 1559. The\n              Kipper- und Wipperzeit\n              , as the period is called, illuminates the geographic spread of financial crises, German hypennflations of this century, and current proposals for “free banking.”","container-title":"The Journal of Economic History","DOI":"10.1017/S0022050700038407","ISSN":"0022-0507, 1471-6372","issue":"1","journalAbbreviation":"J. Eco. History","language":"en","page":"149-175","source":"DOI.org (Crossref)","title":"The Economic Crisis of 1619 to 1623","volume":"51","author":[{"family":"Kindleberger","given":"Charles P."}],"issued":{"date-parts":[["1991",3]]},"citation-key":"kindlebergerEconomicCrisis16191991"},"locator":"159"},{"id":1811,"uris":["http://zotero.org/users/9264098/items/QDRXLTJ8"],"itemData":{"id":1811,"type":"book","collection-title":"Yale Series in Economic and  Financial History","event-place":"New Haven","ISBN":"978-0-300-14677-6","language":"eng","note":"OCLC: 802047005","publisher":"Yale University Press","publisher-place":"New Haven","source":"Open WorldCat","title":"The Kipper und Wipper inflation, 1619-23: an economic history with contemporary German broadsheets","title-short":"The Kipper und Wipper inflation, 1619-23","author":[{"family":"Paas","given":"Martha White"}],"contributor":[{"family":"Paas","given":"John Roger"}],"translator":[{"family":"Schoolfield","given":"George C."}],"issued":{"date-parts":[["2012"]]},"citation-key":"paasKipperUndWipper2012"},"locator":"12"}],"schema":"https://github.com/citation-style-language/schema/raw/master/csl-citation.json"} </w:instrText>
      </w:r>
      <w:r w:rsidRPr="008D6831">
        <w:rPr>
          <w:rFonts w:ascii="Times New Roman" w:hAnsi="Times New Roman" w:cs="Times New Roman"/>
        </w:rPr>
        <w:fldChar w:fldCharType="separate"/>
      </w:r>
      <w:r w:rsidRPr="008D6831">
        <w:rPr>
          <w:rFonts w:ascii="Times New Roman" w:hAnsi="Times New Roman" w:cs="Times New Roman"/>
        </w:rPr>
        <w:t xml:space="preserve">(Kindleberger 1991, 159; </w:t>
      </w:r>
      <w:proofErr w:type="spellStart"/>
      <w:r w:rsidRPr="008D6831">
        <w:rPr>
          <w:rFonts w:ascii="Times New Roman" w:hAnsi="Times New Roman" w:cs="Times New Roman"/>
        </w:rPr>
        <w:t>Paas</w:t>
      </w:r>
      <w:proofErr w:type="spellEnd"/>
      <w:r w:rsidRPr="008D6831">
        <w:rPr>
          <w:rFonts w:ascii="Times New Roman" w:hAnsi="Times New Roman" w:cs="Times New Roman"/>
        </w:rPr>
        <w:t xml:space="preserve"> 2012, 12)</w:t>
      </w:r>
      <w:r w:rsidRPr="008D6831">
        <w:rPr>
          <w:rFonts w:ascii="Times New Roman" w:hAnsi="Times New Roman" w:cs="Times New Roman"/>
        </w:rPr>
        <w:fldChar w:fldCharType="end"/>
      </w:r>
      <w:r w:rsidRPr="008D6831">
        <w:rPr>
          <w:rFonts w:ascii="Times New Roman" w:hAnsi="Times New Roman" w:cs="Times New Roman"/>
        </w:rPr>
        <w:t xml:space="preserve">. An example of this is the </w:t>
      </w:r>
      <w:r w:rsidRPr="008D6831">
        <w:rPr>
          <w:rFonts w:ascii="Times New Roman" w:hAnsi="Times New Roman" w:cs="Times New Roman"/>
        </w:rPr>
        <w:lastRenderedPageBreak/>
        <w:t xml:space="preserve">experience of Polish–Lithuanian Commonwealth. Scholars cannot determine whether or not Poland harmed or was harmed by German </w:t>
      </w:r>
      <w:r>
        <w:rPr>
          <w:rFonts w:ascii="Times New Roman" w:hAnsi="Times New Roman" w:cs="Times New Roman"/>
        </w:rPr>
        <w:t>coins</w:t>
      </w:r>
      <w:r w:rsidRPr="008D6831">
        <w:rPr>
          <w:rFonts w:ascii="Times New Roman" w:hAnsi="Times New Roman" w:cs="Times New Roman"/>
        </w:rPr>
        <w:t xml:space="preserve">, with some asserting that Polish </w:t>
      </w:r>
      <w:proofErr w:type="spellStart"/>
      <w:r w:rsidRPr="008D6831">
        <w:rPr>
          <w:rFonts w:ascii="Times New Roman" w:hAnsi="Times New Roman" w:cs="Times New Roman"/>
          <w:i/>
          <w:iCs/>
        </w:rPr>
        <w:t>złoty</w:t>
      </w:r>
      <w:proofErr w:type="spellEnd"/>
      <w:r w:rsidRPr="008D6831">
        <w:rPr>
          <w:rFonts w:ascii="Times New Roman" w:hAnsi="Times New Roman" w:cs="Times New Roman"/>
        </w:rPr>
        <w:t xml:space="preserve"> flooded into Germany while others assert that Poland was flooded with foreign coins </w:t>
      </w:r>
      <w:r w:rsidRPr="008D6831">
        <w:rPr>
          <w:rFonts w:ascii="Times New Roman" w:hAnsi="Times New Roman" w:cs="Times New Roman"/>
        </w:rPr>
        <w:fldChar w:fldCharType="begin"/>
      </w:r>
      <w:r w:rsidRPr="008D6831">
        <w:rPr>
          <w:rFonts w:ascii="Times New Roman" w:hAnsi="Times New Roman" w:cs="Times New Roman"/>
        </w:rPr>
        <w:instrText xml:space="preserve"> ADDIN ZOTERO_ITEM CSL_CITATION {"citationID":"Cz2osWF2","properties":{"formattedCitation":"(Kindleberger 1991, 161)","plainCitation":"(Kindleberger 1991, 161)","noteIndex":0},"citationItems":[{"id":1104,"uris":["http://zotero.org/users/9264098/items/EX35T2K3"],"itemData":{"id":1104,"type":"article-journal","abstract":"Various states in the Holy Roman Empire prepared for the Thirty Years' War by creating new mints and debasing the subsidiary coinage. The process spread through Gresham's Law: bad money was taken by debasing states to their neighbors and exchanged for good. The neighbor typically defended itself by debasing its own coin. The resulting hyperinflation was terminated early in the war by an agreement to return to the Imperial Augsburg Ordinance of 1559. The\n              Kipper- und Wipperzeit\n              , as the period is called, illuminates the geographic spread of financial crises, German hypennflations of this century, and current proposals for “free banking.”","container-title":"The Journal of Economic History","DOI":"10.1017/S0022050700038407","ISSN":"0022-0507, 1471-6372","issue":"1","journalAbbreviation":"J. Eco. History","language":"en","page":"149-175","source":"DOI.org (Crossref)","title":"The Economic Crisis of 1619 to 1623","volume":"51","author":[{"family":"Kindleberger","given":"Charles P."}],"issued":{"date-parts":[["1991",3]]},"citation-key":"kindlebergerEconomicCrisis16191991"},"locator":"161"}],"schema":"https://github.com/citation-style-language/schema/raw/master/csl-citation.json"} </w:instrText>
      </w:r>
      <w:r w:rsidRPr="008D6831">
        <w:rPr>
          <w:rFonts w:ascii="Times New Roman" w:hAnsi="Times New Roman" w:cs="Times New Roman"/>
        </w:rPr>
        <w:fldChar w:fldCharType="separate"/>
      </w:r>
      <w:r w:rsidRPr="008D6831">
        <w:rPr>
          <w:rFonts w:ascii="Times New Roman" w:hAnsi="Times New Roman" w:cs="Times New Roman"/>
        </w:rPr>
        <w:t>(Kindleberger 1991, 161)</w:t>
      </w:r>
      <w:r w:rsidRPr="008D6831">
        <w:rPr>
          <w:rFonts w:ascii="Times New Roman" w:hAnsi="Times New Roman" w:cs="Times New Roman"/>
        </w:rPr>
        <w:fldChar w:fldCharType="end"/>
      </w:r>
      <w:r w:rsidRPr="008D6831">
        <w:rPr>
          <w:rFonts w:ascii="Times New Roman" w:hAnsi="Times New Roman" w:cs="Times New Roman"/>
        </w:rPr>
        <w:t xml:space="preserve">.  A comparison of </w:t>
      </w:r>
      <w:r w:rsidRPr="008D6831">
        <w:rPr>
          <w:rFonts w:ascii="Times New Roman" w:hAnsi="Times New Roman" w:cs="Times New Roman"/>
          <w:i/>
          <w:iCs/>
          <w:lang w:val="en-NL"/>
        </w:rPr>
        <w:t>Reichsthaler</w:t>
      </w:r>
      <w:r w:rsidRPr="008D6831">
        <w:rPr>
          <w:rFonts w:ascii="Times New Roman" w:hAnsi="Times New Roman" w:cs="Times New Roman"/>
          <w:lang w:val="en-NL"/>
        </w:rPr>
        <w:t xml:space="preserve">, the German imperial currency, and </w:t>
      </w:r>
      <w:proofErr w:type="spellStart"/>
      <w:r w:rsidRPr="008D6831">
        <w:rPr>
          <w:rFonts w:ascii="Times New Roman" w:hAnsi="Times New Roman" w:cs="Times New Roman"/>
          <w:i/>
          <w:iCs/>
        </w:rPr>
        <w:t>złoty</w:t>
      </w:r>
      <w:proofErr w:type="spellEnd"/>
      <w:r w:rsidRPr="008D6831">
        <w:rPr>
          <w:rFonts w:ascii="Times New Roman" w:hAnsi="Times New Roman" w:cs="Times New Roman"/>
          <w:i/>
          <w:iCs/>
        </w:rPr>
        <w:t xml:space="preserve"> </w:t>
      </w:r>
      <w:r w:rsidRPr="008D6831">
        <w:rPr>
          <w:rFonts w:ascii="Times New Roman" w:hAnsi="Times New Roman" w:cs="Times New Roman"/>
        </w:rPr>
        <w:t xml:space="preserve">in each respective country would permit a clearer picture, giving equal weight to each country’s experience of the crisis. </w:t>
      </w:r>
    </w:p>
    <w:p w14:paraId="75B0F447" w14:textId="77777777" w:rsidR="007E2389" w:rsidRDefault="007E2389" w:rsidP="001C50DF">
      <w:pPr>
        <w:spacing w:line="360" w:lineRule="auto"/>
        <w:rPr>
          <w:rFonts w:ascii="Times New Roman" w:hAnsi="Times New Roman" w:cs="Times New Roman"/>
          <w:b/>
          <w:bCs/>
          <w:lang w:val="en-NL"/>
        </w:rPr>
      </w:pPr>
      <w:r>
        <w:rPr>
          <w:rFonts w:ascii="Times New Roman" w:hAnsi="Times New Roman" w:cs="Times New Roman"/>
          <w:b/>
          <w:bCs/>
          <w:lang w:val="en-NL"/>
        </w:rPr>
        <w:br w:type="page"/>
      </w:r>
    </w:p>
    <w:p w14:paraId="47890E3E" w14:textId="2C73E8A6" w:rsidR="00E04390" w:rsidRPr="007E2389" w:rsidRDefault="007E2389" w:rsidP="001C50DF">
      <w:pPr>
        <w:spacing w:line="360" w:lineRule="auto"/>
        <w:rPr>
          <w:rFonts w:ascii="Times New Roman" w:hAnsi="Times New Roman" w:cs="Times New Roman"/>
          <w:b/>
          <w:bCs/>
          <w:lang w:val="en-NL"/>
        </w:rPr>
      </w:pPr>
      <w:r>
        <w:rPr>
          <w:rFonts w:ascii="Times New Roman" w:hAnsi="Times New Roman" w:cs="Times New Roman"/>
          <w:b/>
          <w:bCs/>
          <w:lang w:val="en-NL"/>
        </w:rPr>
        <w:lastRenderedPageBreak/>
        <w:t>References</w:t>
      </w:r>
    </w:p>
    <w:p w14:paraId="44E7FB61" w14:textId="77777777" w:rsidR="00B51EF2" w:rsidRPr="00B51EF2" w:rsidRDefault="00E04390" w:rsidP="001C50DF">
      <w:pPr>
        <w:pStyle w:val="Bibliography"/>
        <w:spacing w:line="360" w:lineRule="auto"/>
        <w:rPr>
          <w:rFonts w:ascii="Times New Roman" w:hAnsi="Times New Roman" w:cs="Times New Roman"/>
        </w:rPr>
      </w:pPr>
      <w:r w:rsidRPr="00B87F1F">
        <w:fldChar w:fldCharType="begin"/>
      </w:r>
      <w:r w:rsidR="00B51EF2">
        <w:instrText xml:space="preserve"> ADDIN ZOTERO_BIBL {"uncited":[],"omitted":[],"custom":[]} CSL_BIBLIOGRAPHY </w:instrText>
      </w:r>
      <w:r w:rsidRPr="00B87F1F">
        <w:fldChar w:fldCharType="separate"/>
      </w:r>
      <w:r w:rsidR="00B51EF2" w:rsidRPr="00B51EF2">
        <w:rPr>
          <w:rFonts w:ascii="Times New Roman" w:hAnsi="Times New Roman" w:cs="Times New Roman"/>
        </w:rPr>
        <w:t xml:space="preserve">Berger, Stefan. 2003. “Comparative History.” In </w:t>
      </w:r>
      <w:r w:rsidR="00B51EF2" w:rsidRPr="00B51EF2">
        <w:rPr>
          <w:rFonts w:ascii="Times New Roman" w:hAnsi="Times New Roman" w:cs="Times New Roman"/>
          <w:i/>
          <w:iCs/>
        </w:rPr>
        <w:t>Writing History: Theory and Practice</w:t>
      </w:r>
      <w:r w:rsidR="00B51EF2" w:rsidRPr="00B51EF2">
        <w:rPr>
          <w:rFonts w:ascii="Times New Roman" w:hAnsi="Times New Roman" w:cs="Times New Roman"/>
        </w:rPr>
        <w:t>, edited by Stefan Berger, Heiko Feldner, and Kevin Passmore, 1st ed. Writing History. Hodder Arnold.</w:t>
      </w:r>
    </w:p>
    <w:p w14:paraId="12A39F1E" w14:textId="77777777" w:rsidR="00B51EF2" w:rsidRPr="00B51EF2" w:rsidRDefault="00B51EF2" w:rsidP="001C50DF">
      <w:pPr>
        <w:pStyle w:val="Bibliography"/>
        <w:spacing w:line="360" w:lineRule="auto"/>
        <w:rPr>
          <w:rFonts w:ascii="Times New Roman" w:hAnsi="Times New Roman" w:cs="Times New Roman"/>
        </w:rPr>
      </w:pPr>
      <w:r w:rsidRPr="00B51EF2">
        <w:rPr>
          <w:rFonts w:ascii="Times New Roman" w:hAnsi="Times New Roman" w:cs="Times New Roman"/>
        </w:rPr>
        <w:t xml:space="preserve">Bloch, Marc. 2022. “A Contribution towards a Comparative History of European Societies.” In </w:t>
      </w:r>
      <w:r w:rsidRPr="00B51EF2">
        <w:rPr>
          <w:rFonts w:ascii="Times New Roman" w:hAnsi="Times New Roman" w:cs="Times New Roman"/>
          <w:i/>
          <w:iCs/>
        </w:rPr>
        <w:t>The Rise of Comparative History</w:t>
      </w:r>
      <w:r w:rsidRPr="00B51EF2">
        <w:rPr>
          <w:rFonts w:ascii="Times New Roman" w:hAnsi="Times New Roman" w:cs="Times New Roman"/>
        </w:rPr>
        <w:t>, 89–124. Budapest, Hungary: Central European University Press.</w:t>
      </w:r>
    </w:p>
    <w:p w14:paraId="2A1C0470" w14:textId="77777777" w:rsidR="00B51EF2" w:rsidRPr="00B51EF2" w:rsidRDefault="00B51EF2" w:rsidP="001C50DF">
      <w:pPr>
        <w:pStyle w:val="Bibliography"/>
        <w:spacing w:line="360" w:lineRule="auto"/>
        <w:rPr>
          <w:rFonts w:ascii="Times New Roman" w:hAnsi="Times New Roman" w:cs="Times New Roman"/>
        </w:rPr>
      </w:pPr>
      <w:r w:rsidRPr="00B51EF2">
        <w:rPr>
          <w:rFonts w:ascii="Times New Roman" w:hAnsi="Times New Roman" w:cs="Times New Roman"/>
        </w:rPr>
        <w:t>Dash, Mike. 2012. “‘Kipper Und Wipper’: Rogue Traders, Rogue Princes, Rogue Bishops and the German Financial Meltdown of 1621-23.” Smithsonian Magazine. March 29, 2012. https://www.smithsonianmag.com/history/kipper-und-wipper-rogue-traders-rogue-princes-rogue-bishops-and-the-german-financial-meltdown-of-1621-23-167320079/.</w:t>
      </w:r>
    </w:p>
    <w:p w14:paraId="0FE2FB8E" w14:textId="77777777" w:rsidR="00B51EF2" w:rsidRPr="00B51EF2" w:rsidRDefault="00B51EF2" w:rsidP="001C50DF">
      <w:pPr>
        <w:pStyle w:val="Bibliography"/>
        <w:spacing w:line="360" w:lineRule="auto"/>
        <w:rPr>
          <w:rFonts w:ascii="Times New Roman" w:hAnsi="Times New Roman" w:cs="Times New Roman"/>
        </w:rPr>
      </w:pPr>
      <w:r w:rsidRPr="00B51EF2">
        <w:rPr>
          <w:rFonts w:ascii="Times New Roman" w:hAnsi="Times New Roman" w:cs="Times New Roman"/>
        </w:rPr>
        <w:t xml:space="preserve">Hobsbawm, E. J., and Joan Wallach Scott. 1980. “Political Shoemakers.” </w:t>
      </w:r>
      <w:r w:rsidRPr="00B51EF2">
        <w:rPr>
          <w:rFonts w:ascii="Times New Roman" w:hAnsi="Times New Roman" w:cs="Times New Roman"/>
          <w:i/>
          <w:iCs/>
        </w:rPr>
        <w:t>Past and Present</w:t>
      </w:r>
      <w:r w:rsidRPr="00B51EF2">
        <w:rPr>
          <w:rFonts w:ascii="Times New Roman" w:hAnsi="Times New Roman" w:cs="Times New Roman"/>
        </w:rPr>
        <w:t xml:space="preserve"> 89 (1): 86–114. https://doi.org/10.1093/past/89.1.86.</w:t>
      </w:r>
    </w:p>
    <w:p w14:paraId="11D93946" w14:textId="77777777" w:rsidR="00B51EF2" w:rsidRPr="00B51EF2" w:rsidRDefault="00B51EF2" w:rsidP="001C50DF">
      <w:pPr>
        <w:pStyle w:val="Bibliography"/>
        <w:spacing w:line="360" w:lineRule="auto"/>
        <w:rPr>
          <w:rFonts w:ascii="Times New Roman" w:hAnsi="Times New Roman" w:cs="Times New Roman"/>
        </w:rPr>
      </w:pPr>
      <w:r w:rsidRPr="00B51EF2">
        <w:rPr>
          <w:rFonts w:ascii="Times New Roman" w:hAnsi="Times New Roman" w:cs="Times New Roman"/>
        </w:rPr>
        <w:t xml:space="preserve">Kindleberger, Charles P. 1991. “The Economic Crisis of 1619 to 1623.” </w:t>
      </w:r>
      <w:r w:rsidRPr="00B51EF2">
        <w:rPr>
          <w:rFonts w:ascii="Times New Roman" w:hAnsi="Times New Roman" w:cs="Times New Roman"/>
          <w:i/>
          <w:iCs/>
        </w:rPr>
        <w:t>The Journal of Economic History</w:t>
      </w:r>
      <w:r w:rsidRPr="00B51EF2">
        <w:rPr>
          <w:rFonts w:ascii="Times New Roman" w:hAnsi="Times New Roman" w:cs="Times New Roman"/>
        </w:rPr>
        <w:t xml:space="preserve"> 51 (1): 149–75. https://doi.org/10.1017/S0022050700038407.</w:t>
      </w:r>
    </w:p>
    <w:p w14:paraId="5576FF3B" w14:textId="77777777" w:rsidR="00B51EF2" w:rsidRPr="00B51EF2" w:rsidRDefault="00B51EF2" w:rsidP="001C50DF">
      <w:pPr>
        <w:pStyle w:val="Bibliography"/>
        <w:spacing w:line="360" w:lineRule="auto"/>
        <w:rPr>
          <w:rFonts w:ascii="Times New Roman" w:hAnsi="Times New Roman" w:cs="Times New Roman"/>
        </w:rPr>
      </w:pPr>
      <w:r w:rsidRPr="00B51EF2">
        <w:rPr>
          <w:rFonts w:ascii="Times New Roman" w:hAnsi="Times New Roman" w:cs="Times New Roman"/>
        </w:rPr>
        <w:t xml:space="preserve">Kocka, Jürgen. 2009. “Comparative History: Methodology and Ethos.” </w:t>
      </w:r>
      <w:r w:rsidRPr="00B51EF2">
        <w:rPr>
          <w:rFonts w:ascii="Times New Roman" w:hAnsi="Times New Roman" w:cs="Times New Roman"/>
          <w:i/>
          <w:iCs/>
        </w:rPr>
        <w:t>East Central Europe</w:t>
      </w:r>
      <w:r w:rsidRPr="00B51EF2">
        <w:rPr>
          <w:rFonts w:ascii="Times New Roman" w:hAnsi="Times New Roman" w:cs="Times New Roman"/>
        </w:rPr>
        <w:t xml:space="preserve"> 36 (1): 12–19. https://doi.org/10.1163/187633009X411430.</w:t>
      </w:r>
    </w:p>
    <w:p w14:paraId="512A5B3D" w14:textId="77777777" w:rsidR="00B51EF2" w:rsidRPr="00B51EF2" w:rsidRDefault="00B51EF2" w:rsidP="001C50DF">
      <w:pPr>
        <w:pStyle w:val="Bibliography"/>
        <w:spacing w:line="360" w:lineRule="auto"/>
        <w:rPr>
          <w:rFonts w:ascii="Times New Roman" w:hAnsi="Times New Roman" w:cs="Times New Roman"/>
        </w:rPr>
      </w:pPr>
      <w:r w:rsidRPr="00B51EF2">
        <w:rPr>
          <w:rFonts w:ascii="Times New Roman" w:hAnsi="Times New Roman" w:cs="Times New Roman"/>
        </w:rPr>
        <w:t>Macdonald, Simon. 2013. “Transnational History: A Review of Past and Present Scholarship.” UCL Centre for Transnational History.</w:t>
      </w:r>
    </w:p>
    <w:p w14:paraId="60FB2713" w14:textId="77777777" w:rsidR="00B51EF2" w:rsidRPr="00B51EF2" w:rsidRDefault="00B51EF2" w:rsidP="001C50DF">
      <w:pPr>
        <w:pStyle w:val="Bibliography"/>
        <w:spacing w:line="360" w:lineRule="auto"/>
        <w:rPr>
          <w:rFonts w:ascii="Times New Roman" w:hAnsi="Times New Roman" w:cs="Times New Roman"/>
        </w:rPr>
      </w:pPr>
      <w:proofErr w:type="spellStart"/>
      <w:r w:rsidRPr="00B51EF2">
        <w:rPr>
          <w:rFonts w:ascii="Times New Roman" w:hAnsi="Times New Roman" w:cs="Times New Roman"/>
        </w:rPr>
        <w:t>Paas</w:t>
      </w:r>
      <w:proofErr w:type="spellEnd"/>
      <w:r w:rsidRPr="00B51EF2">
        <w:rPr>
          <w:rFonts w:ascii="Times New Roman" w:hAnsi="Times New Roman" w:cs="Times New Roman"/>
        </w:rPr>
        <w:t xml:space="preserve">, Martha White. 2012. </w:t>
      </w:r>
      <w:r w:rsidRPr="00B51EF2">
        <w:rPr>
          <w:rFonts w:ascii="Times New Roman" w:hAnsi="Times New Roman" w:cs="Times New Roman"/>
          <w:i/>
          <w:iCs/>
        </w:rPr>
        <w:t>The Kipper Und Wipper Inflation, 1619-23: An Economic History with Contemporary German Broadsheets</w:t>
      </w:r>
      <w:r w:rsidRPr="00B51EF2">
        <w:rPr>
          <w:rFonts w:ascii="Times New Roman" w:hAnsi="Times New Roman" w:cs="Times New Roman"/>
        </w:rPr>
        <w:t>. Translated by George C. Schoolfield. Yale Series in Economic and  Financial History. New Haven: Yale University Press.</w:t>
      </w:r>
    </w:p>
    <w:p w14:paraId="669828A7" w14:textId="6E42B3D2" w:rsidR="00867BAD" w:rsidRPr="00B87F1F" w:rsidRDefault="00E04390" w:rsidP="001C50DF">
      <w:pPr>
        <w:spacing w:line="360" w:lineRule="auto"/>
        <w:rPr>
          <w:rFonts w:ascii="Times New Roman" w:hAnsi="Times New Roman" w:cs="Times New Roman"/>
        </w:rPr>
      </w:pPr>
      <w:r w:rsidRPr="00B87F1F">
        <w:rPr>
          <w:rFonts w:ascii="Times New Roman" w:hAnsi="Times New Roman" w:cs="Times New Roman"/>
        </w:rPr>
        <w:fldChar w:fldCharType="end"/>
      </w:r>
    </w:p>
    <w:sectPr w:rsidR="00867BAD" w:rsidRPr="00B87F1F" w:rsidSect="00DA5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C93"/>
    <w:rsid w:val="00020BCB"/>
    <w:rsid w:val="000312A3"/>
    <w:rsid w:val="000603F9"/>
    <w:rsid w:val="00074B57"/>
    <w:rsid w:val="00084BC1"/>
    <w:rsid w:val="000F1E13"/>
    <w:rsid w:val="000F4DD0"/>
    <w:rsid w:val="00113588"/>
    <w:rsid w:val="001349A3"/>
    <w:rsid w:val="001C50DF"/>
    <w:rsid w:val="002142E7"/>
    <w:rsid w:val="00255374"/>
    <w:rsid w:val="00262993"/>
    <w:rsid w:val="002812B8"/>
    <w:rsid w:val="002D5EF5"/>
    <w:rsid w:val="002E7ACB"/>
    <w:rsid w:val="00342216"/>
    <w:rsid w:val="0036466D"/>
    <w:rsid w:val="00376E19"/>
    <w:rsid w:val="003848EB"/>
    <w:rsid w:val="00390C53"/>
    <w:rsid w:val="003A2AD1"/>
    <w:rsid w:val="003B1431"/>
    <w:rsid w:val="003B3625"/>
    <w:rsid w:val="003C1C1E"/>
    <w:rsid w:val="003C3D42"/>
    <w:rsid w:val="003D735A"/>
    <w:rsid w:val="004969C0"/>
    <w:rsid w:val="004E7EEF"/>
    <w:rsid w:val="00516383"/>
    <w:rsid w:val="00533A38"/>
    <w:rsid w:val="005730FD"/>
    <w:rsid w:val="00591D53"/>
    <w:rsid w:val="005C54C2"/>
    <w:rsid w:val="00646CB8"/>
    <w:rsid w:val="006544BB"/>
    <w:rsid w:val="00674539"/>
    <w:rsid w:val="00693C9D"/>
    <w:rsid w:val="006C0CEC"/>
    <w:rsid w:val="006F3FEE"/>
    <w:rsid w:val="006F46EC"/>
    <w:rsid w:val="00707E39"/>
    <w:rsid w:val="00733FCD"/>
    <w:rsid w:val="00744455"/>
    <w:rsid w:val="00775A34"/>
    <w:rsid w:val="007C4B86"/>
    <w:rsid w:val="007E2389"/>
    <w:rsid w:val="0080758E"/>
    <w:rsid w:val="008576A8"/>
    <w:rsid w:val="00867BAD"/>
    <w:rsid w:val="008D6831"/>
    <w:rsid w:val="009008F3"/>
    <w:rsid w:val="00976397"/>
    <w:rsid w:val="009B62D9"/>
    <w:rsid w:val="009E1166"/>
    <w:rsid w:val="009F1BDE"/>
    <w:rsid w:val="009F4937"/>
    <w:rsid w:val="00A1403D"/>
    <w:rsid w:val="00A20523"/>
    <w:rsid w:val="00A311E1"/>
    <w:rsid w:val="00A861D8"/>
    <w:rsid w:val="00AD491F"/>
    <w:rsid w:val="00AF655F"/>
    <w:rsid w:val="00B4596F"/>
    <w:rsid w:val="00B5076D"/>
    <w:rsid w:val="00B51EF2"/>
    <w:rsid w:val="00B87F1F"/>
    <w:rsid w:val="00BE236B"/>
    <w:rsid w:val="00C171DB"/>
    <w:rsid w:val="00C74CB6"/>
    <w:rsid w:val="00C90B83"/>
    <w:rsid w:val="00CC235A"/>
    <w:rsid w:val="00CF24C3"/>
    <w:rsid w:val="00CF761F"/>
    <w:rsid w:val="00D053C6"/>
    <w:rsid w:val="00D22951"/>
    <w:rsid w:val="00DA5C93"/>
    <w:rsid w:val="00DE4148"/>
    <w:rsid w:val="00E04390"/>
    <w:rsid w:val="00E17F24"/>
    <w:rsid w:val="00E317C5"/>
    <w:rsid w:val="00E36ED0"/>
    <w:rsid w:val="00E540E6"/>
    <w:rsid w:val="00E55EEB"/>
    <w:rsid w:val="00E6398A"/>
    <w:rsid w:val="00EA2CE1"/>
    <w:rsid w:val="00F13B53"/>
    <w:rsid w:val="00F71BFE"/>
    <w:rsid w:val="00F838D1"/>
    <w:rsid w:val="00F84DCD"/>
    <w:rsid w:val="00FF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9B523"/>
  <w15:chartTrackingRefBased/>
  <w15:docId w15:val="{C838D62B-1EF3-43DA-90C2-44B7C21DE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C93"/>
    <w:rPr>
      <w:lang w:val="en-NL"/>
    </w:rPr>
  </w:style>
  <w:style w:type="paragraph" w:styleId="Heading1">
    <w:name w:val="heading 1"/>
    <w:basedOn w:val="Normal"/>
    <w:next w:val="Normal"/>
    <w:link w:val="Heading1Char"/>
    <w:uiPriority w:val="9"/>
    <w:qFormat/>
    <w:rsid w:val="00DA5C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C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C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C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C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C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C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C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C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C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C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C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C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5C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5C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C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C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C93"/>
    <w:rPr>
      <w:rFonts w:eastAsiaTheme="majorEastAsia" w:cstheme="majorBidi"/>
      <w:color w:val="272727" w:themeColor="text1" w:themeTint="D8"/>
    </w:rPr>
  </w:style>
  <w:style w:type="paragraph" w:styleId="Title">
    <w:name w:val="Title"/>
    <w:basedOn w:val="Normal"/>
    <w:next w:val="Normal"/>
    <w:link w:val="TitleChar"/>
    <w:uiPriority w:val="10"/>
    <w:qFormat/>
    <w:rsid w:val="00DA5C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C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C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C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C93"/>
    <w:pPr>
      <w:spacing w:before="160"/>
      <w:jc w:val="center"/>
    </w:pPr>
    <w:rPr>
      <w:i/>
      <w:iCs/>
      <w:color w:val="404040" w:themeColor="text1" w:themeTint="BF"/>
    </w:rPr>
  </w:style>
  <w:style w:type="character" w:customStyle="1" w:styleId="QuoteChar">
    <w:name w:val="Quote Char"/>
    <w:basedOn w:val="DefaultParagraphFont"/>
    <w:link w:val="Quote"/>
    <w:uiPriority w:val="29"/>
    <w:rsid w:val="00DA5C93"/>
    <w:rPr>
      <w:i/>
      <w:iCs/>
      <w:color w:val="404040" w:themeColor="text1" w:themeTint="BF"/>
    </w:rPr>
  </w:style>
  <w:style w:type="paragraph" w:styleId="ListParagraph">
    <w:name w:val="List Paragraph"/>
    <w:basedOn w:val="Normal"/>
    <w:uiPriority w:val="34"/>
    <w:qFormat/>
    <w:rsid w:val="00DA5C93"/>
    <w:pPr>
      <w:ind w:left="720"/>
      <w:contextualSpacing/>
    </w:pPr>
  </w:style>
  <w:style w:type="character" w:styleId="IntenseEmphasis">
    <w:name w:val="Intense Emphasis"/>
    <w:basedOn w:val="DefaultParagraphFont"/>
    <w:uiPriority w:val="21"/>
    <w:qFormat/>
    <w:rsid w:val="00DA5C93"/>
    <w:rPr>
      <w:i/>
      <w:iCs/>
      <w:color w:val="0F4761" w:themeColor="accent1" w:themeShade="BF"/>
    </w:rPr>
  </w:style>
  <w:style w:type="paragraph" w:styleId="IntenseQuote">
    <w:name w:val="Intense Quote"/>
    <w:basedOn w:val="Normal"/>
    <w:next w:val="Normal"/>
    <w:link w:val="IntenseQuoteChar"/>
    <w:uiPriority w:val="30"/>
    <w:qFormat/>
    <w:rsid w:val="00DA5C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C93"/>
    <w:rPr>
      <w:i/>
      <w:iCs/>
      <w:color w:val="0F4761" w:themeColor="accent1" w:themeShade="BF"/>
    </w:rPr>
  </w:style>
  <w:style w:type="character" w:styleId="IntenseReference">
    <w:name w:val="Intense Reference"/>
    <w:basedOn w:val="DefaultParagraphFont"/>
    <w:uiPriority w:val="32"/>
    <w:qFormat/>
    <w:rsid w:val="00DA5C93"/>
    <w:rPr>
      <w:b/>
      <w:bCs/>
      <w:smallCaps/>
      <w:color w:val="0F4761" w:themeColor="accent1" w:themeShade="BF"/>
      <w:spacing w:val="5"/>
    </w:rPr>
  </w:style>
  <w:style w:type="character" w:styleId="Hyperlink">
    <w:name w:val="Hyperlink"/>
    <w:basedOn w:val="DefaultParagraphFont"/>
    <w:uiPriority w:val="99"/>
    <w:unhideWhenUsed/>
    <w:rsid w:val="00707E39"/>
    <w:rPr>
      <w:color w:val="467886" w:themeColor="hyperlink"/>
      <w:u w:val="single"/>
    </w:rPr>
  </w:style>
  <w:style w:type="character" w:styleId="UnresolvedMention">
    <w:name w:val="Unresolved Mention"/>
    <w:basedOn w:val="DefaultParagraphFont"/>
    <w:uiPriority w:val="99"/>
    <w:semiHidden/>
    <w:unhideWhenUsed/>
    <w:rsid w:val="00707E39"/>
    <w:rPr>
      <w:color w:val="605E5C"/>
      <w:shd w:val="clear" w:color="auto" w:fill="E1DFDD"/>
    </w:rPr>
  </w:style>
  <w:style w:type="paragraph" w:styleId="Bibliography">
    <w:name w:val="Bibliography"/>
    <w:basedOn w:val="Normal"/>
    <w:next w:val="Normal"/>
    <w:uiPriority w:val="37"/>
    <w:unhideWhenUsed/>
    <w:rsid w:val="00E04390"/>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83526">
      <w:bodyDiv w:val="1"/>
      <w:marLeft w:val="0"/>
      <w:marRight w:val="0"/>
      <w:marTop w:val="0"/>
      <w:marBottom w:val="0"/>
      <w:divBdr>
        <w:top w:val="none" w:sz="0" w:space="0" w:color="auto"/>
        <w:left w:val="none" w:sz="0" w:space="0" w:color="auto"/>
        <w:bottom w:val="none" w:sz="0" w:space="0" w:color="auto"/>
        <w:right w:val="none" w:sz="0" w:space="0" w:color="auto"/>
      </w:divBdr>
      <w:divsChild>
        <w:div w:id="969748193">
          <w:marLeft w:val="480"/>
          <w:marRight w:val="0"/>
          <w:marTop w:val="0"/>
          <w:marBottom w:val="0"/>
          <w:divBdr>
            <w:top w:val="none" w:sz="0" w:space="0" w:color="auto"/>
            <w:left w:val="none" w:sz="0" w:space="0" w:color="auto"/>
            <w:bottom w:val="none" w:sz="0" w:space="0" w:color="auto"/>
            <w:right w:val="none" w:sz="0" w:space="0" w:color="auto"/>
          </w:divBdr>
          <w:divsChild>
            <w:div w:id="14591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9829">
      <w:bodyDiv w:val="1"/>
      <w:marLeft w:val="0"/>
      <w:marRight w:val="0"/>
      <w:marTop w:val="0"/>
      <w:marBottom w:val="0"/>
      <w:divBdr>
        <w:top w:val="none" w:sz="0" w:space="0" w:color="auto"/>
        <w:left w:val="none" w:sz="0" w:space="0" w:color="auto"/>
        <w:bottom w:val="none" w:sz="0" w:space="0" w:color="auto"/>
        <w:right w:val="none" w:sz="0" w:space="0" w:color="auto"/>
      </w:divBdr>
    </w:div>
    <w:div w:id="369261473">
      <w:bodyDiv w:val="1"/>
      <w:marLeft w:val="0"/>
      <w:marRight w:val="0"/>
      <w:marTop w:val="0"/>
      <w:marBottom w:val="0"/>
      <w:divBdr>
        <w:top w:val="none" w:sz="0" w:space="0" w:color="auto"/>
        <w:left w:val="none" w:sz="0" w:space="0" w:color="auto"/>
        <w:bottom w:val="none" w:sz="0" w:space="0" w:color="auto"/>
        <w:right w:val="none" w:sz="0" w:space="0" w:color="auto"/>
      </w:divBdr>
      <w:divsChild>
        <w:div w:id="543106425">
          <w:marLeft w:val="480"/>
          <w:marRight w:val="0"/>
          <w:marTop w:val="0"/>
          <w:marBottom w:val="0"/>
          <w:divBdr>
            <w:top w:val="none" w:sz="0" w:space="0" w:color="auto"/>
            <w:left w:val="none" w:sz="0" w:space="0" w:color="auto"/>
            <w:bottom w:val="none" w:sz="0" w:space="0" w:color="auto"/>
            <w:right w:val="none" w:sz="0" w:space="0" w:color="auto"/>
          </w:divBdr>
          <w:divsChild>
            <w:div w:id="14707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87158">
      <w:bodyDiv w:val="1"/>
      <w:marLeft w:val="0"/>
      <w:marRight w:val="0"/>
      <w:marTop w:val="0"/>
      <w:marBottom w:val="0"/>
      <w:divBdr>
        <w:top w:val="none" w:sz="0" w:space="0" w:color="auto"/>
        <w:left w:val="none" w:sz="0" w:space="0" w:color="auto"/>
        <w:bottom w:val="none" w:sz="0" w:space="0" w:color="auto"/>
        <w:right w:val="none" w:sz="0" w:space="0" w:color="auto"/>
      </w:divBdr>
      <w:divsChild>
        <w:div w:id="440610980">
          <w:marLeft w:val="480"/>
          <w:marRight w:val="0"/>
          <w:marTop w:val="0"/>
          <w:marBottom w:val="0"/>
          <w:divBdr>
            <w:top w:val="none" w:sz="0" w:space="0" w:color="auto"/>
            <w:left w:val="none" w:sz="0" w:space="0" w:color="auto"/>
            <w:bottom w:val="none" w:sz="0" w:space="0" w:color="auto"/>
            <w:right w:val="none" w:sz="0" w:space="0" w:color="auto"/>
          </w:divBdr>
          <w:divsChild>
            <w:div w:id="14737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3408">
      <w:bodyDiv w:val="1"/>
      <w:marLeft w:val="0"/>
      <w:marRight w:val="0"/>
      <w:marTop w:val="0"/>
      <w:marBottom w:val="0"/>
      <w:divBdr>
        <w:top w:val="none" w:sz="0" w:space="0" w:color="auto"/>
        <w:left w:val="none" w:sz="0" w:space="0" w:color="auto"/>
        <w:bottom w:val="none" w:sz="0" w:space="0" w:color="auto"/>
        <w:right w:val="none" w:sz="0" w:space="0" w:color="auto"/>
      </w:divBdr>
    </w:div>
    <w:div w:id="528883420">
      <w:bodyDiv w:val="1"/>
      <w:marLeft w:val="0"/>
      <w:marRight w:val="0"/>
      <w:marTop w:val="0"/>
      <w:marBottom w:val="0"/>
      <w:divBdr>
        <w:top w:val="none" w:sz="0" w:space="0" w:color="auto"/>
        <w:left w:val="none" w:sz="0" w:space="0" w:color="auto"/>
        <w:bottom w:val="none" w:sz="0" w:space="0" w:color="auto"/>
        <w:right w:val="none" w:sz="0" w:space="0" w:color="auto"/>
      </w:divBdr>
      <w:divsChild>
        <w:div w:id="399598590">
          <w:marLeft w:val="480"/>
          <w:marRight w:val="0"/>
          <w:marTop w:val="0"/>
          <w:marBottom w:val="0"/>
          <w:divBdr>
            <w:top w:val="none" w:sz="0" w:space="0" w:color="auto"/>
            <w:left w:val="none" w:sz="0" w:space="0" w:color="auto"/>
            <w:bottom w:val="none" w:sz="0" w:space="0" w:color="auto"/>
            <w:right w:val="none" w:sz="0" w:space="0" w:color="auto"/>
          </w:divBdr>
          <w:divsChild>
            <w:div w:id="14578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1542">
      <w:bodyDiv w:val="1"/>
      <w:marLeft w:val="0"/>
      <w:marRight w:val="0"/>
      <w:marTop w:val="0"/>
      <w:marBottom w:val="0"/>
      <w:divBdr>
        <w:top w:val="none" w:sz="0" w:space="0" w:color="auto"/>
        <w:left w:val="none" w:sz="0" w:space="0" w:color="auto"/>
        <w:bottom w:val="none" w:sz="0" w:space="0" w:color="auto"/>
        <w:right w:val="none" w:sz="0" w:space="0" w:color="auto"/>
      </w:divBdr>
    </w:div>
    <w:div w:id="826631964">
      <w:bodyDiv w:val="1"/>
      <w:marLeft w:val="0"/>
      <w:marRight w:val="0"/>
      <w:marTop w:val="0"/>
      <w:marBottom w:val="0"/>
      <w:divBdr>
        <w:top w:val="none" w:sz="0" w:space="0" w:color="auto"/>
        <w:left w:val="none" w:sz="0" w:space="0" w:color="auto"/>
        <w:bottom w:val="none" w:sz="0" w:space="0" w:color="auto"/>
        <w:right w:val="none" w:sz="0" w:space="0" w:color="auto"/>
      </w:divBdr>
    </w:div>
    <w:div w:id="846332194">
      <w:bodyDiv w:val="1"/>
      <w:marLeft w:val="0"/>
      <w:marRight w:val="0"/>
      <w:marTop w:val="0"/>
      <w:marBottom w:val="0"/>
      <w:divBdr>
        <w:top w:val="none" w:sz="0" w:space="0" w:color="auto"/>
        <w:left w:val="none" w:sz="0" w:space="0" w:color="auto"/>
        <w:bottom w:val="none" w:sz="0" w:space="0" w:color="auto"/>
        <w:right w:val="none" w:sz="0" w:space="0" w:color="auto"/>
      </w:divBdr>
      <w:divsChild>
        <w:div w:id="1364019643">
          <w:marLeft w:val="480"/>
          <w:marRight w:val="0"/>
          <w:marTop w:val="0"/>
          <w:marBottom w:val="0"/>
          <w:divBdr>
            <w:top w:val="none" w:sz="0" w:space="0" w:color="auto"/>
            <w:left w:val="none" w:sz="0" w:space="0" w:color="auto"/>
            <w:bottom w:val="none" w:sz="0" w:space="0" w:color="auto"/>
            <w:right w:val="none" w:sz="0" w:space="0" w:color="auto"/>
          </w:divBdr>
          <w:divsChild>
            <w:div w:id="17407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2995">
      <w:bodyDiv w:val="1"/>
      <w:marLeft w:val="0"/>
      <w:marRight w:val="0"/>
      <w:marTop w:val="0"/>
      <w:marBottom w:val="0"/>
      <w:divBdr>
        <w:top w:val="none" w:sz="0" w:space="0" w:color="auto"/>
        <w:left w:val="none" w:sz="0" w:space="0" w:color="auto"/>
        <w:bottom w:val="none" w:sz="0" w:space="0" w:color="auto"/>
        <w:right w:val="none" w:sz="0" w:space="0" w:color="auto"/>
      </w:divBdr>
    </w:div>
    <w:div w:id="1093284539">
      <w:bodyDiv w:val="1"/>
      <w:marLeft w:val="0"/>
      <w:marRight w:val="0"/>
      <w:marTop w:val="0"/>
      <w:marBottom w:val="0"/>
      <w:divBdr>
        <w:top w:val="none" w:sz="0" w:space="0" w:color="auto"/>
        <w:left w:val="none" w:sz="0" w:space="0" w:color="auto"/>
        <w:bottom w:val="none" w:sz="0" w:space="0" w:color="auto"/>
        <w:right w:val="none" w:sz="0" w:space="0" w:color="auto"/>
      </w:divBdr>
    </w:div>
    <w:div w:id="1112898367">
      <w:bodyDiv w:val="1"/>
      <w:marLeft w:val="0"/>
      <w:marRight w:val="0"/>
      <w:marTop w:val="0"/>
      <w:marBottom w:val="0"/>
      <w:divBdr>
        <w:top w:val="none" w:sz="0" w:space="0" w:color="auto"/>
        <w:left w:val="none" w:sz="0" w:space="0" w:color="auto"/>
        <w:bottom w:val="none" w:sz="0" w:space="0" w:color="auto"/>
        <w:right w:val="none" w:sz="0" w:space="0" w:color="auto"/>
      </w:divBdr>
    </w:div>
    <w:div w:id="1698893896">
      <w:bodyDiv w:val="1"/>
      <w:marLeft w:val="0"/>
      <w:marRight w:val="0"/>
      <w:marTop w:val="0"/>
      <w:marBottom w:val="0"/>
      <w:divBdr>
        <w:top w:val="none" w:sz="0" w:space="0" w:color="auto"/>
        <w:left w:val="none" w:sz="0" w:space="0" w:color="auto"/>
        <w:bottom w:val="none" w:sz="0" w:space="0" w:color="auto"/>
        <w:right w:val="none" w:sz="0" w:space="0" w:color="auto"/>
      </w:divBdr>
      <w:divsChild>
        <w:div w:id="577128652">
          <w:marLeft w:val="480"/>
          <w:marRight w:val="0"/>
          <w:marTop w:val="0"/>
          <w:marBottom w:val="0"/>
          <w:divBdr>
            <w:top w:val="none" w:sz="0" w:space="0" w:color="auto"/>
            <w:left w:val="none" w:sz="0" w:space="0" w:color="auto"/>
            <w:bottom w:val="none" w:sz="0" w:space="0" w:color="auto"/>
            <w:right w:val="none" w:sz="0" w:space="0" w:color="auto"/>
          </w:divBdr>
          <w:divsChild>
            <w:div w:id="20150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7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4</Pages>
  <Words>4888</Words>
  <Characters>27863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Yao</dc:creator>
  <cp:keywords/>
  <dc:description/>
  <cp:lastModifiedBy>Julia Yao</cp:lastModifiedBy>
  <cp:revision>150</cp:revision>
  <dcterms:created xsi:type="dcterms:W3CDTF">2024-09-06T08:45:00Z</dcterms:created>
  <dcterms:modified xsi:type="dcterms:W3CDTF">2024-09-09T10:42:00Z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id="yC3B5HZV"/&gt;&lt;style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