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FAC8D" w14:textId="1CA7FF95" w:rsidR="00C85980" w:rsidRPr="00C96360" w:rsidRDefault="008F473A" w:rsidP="00C96360">
      <w:pPr>
        <w:pStyle w:val="Heading1"/>
      </w:pPr>
      <w:r w:rsidRPr="00C96360">
        <w:t>Essay Plan</w:t>
      </w:r>
    </w:p>
    <w:p w14:paraId="1ED86996" w14:textId="77777777" w:rsidR="00807D99" w:rsidRPr="00C96360" w:rsidRDefault="008F473A" w:rsidP="00C96360">
      <w:r w:rsidRPr="00C96360">
        <w:tab/>
        <w:t xml:space="preserve">The objective of this essay is to identify characteristics of guilds by conducting a comparative analysis. This essay is a response to </w:t>
      </w:r>
      <w:proofErr w:type="spellStart"/>
      <w:r w:rsidRPr="00C96360">
        <w:t>Praak</w:t>
      </w:r>
      <w:proofErr w:type="spellEnd"/>
      <w:r w:rsidRPr="00C96360">
        <w:t xml:space="preserve">. </w:t>
      </w:r>
      <w:proofErr w:type="spellStart"/>
      <w:r w:rsidRPr="00C96360">
        <w:t>Praak</w:t>
      </w:r>
      <w:proofErr w:type="spellEnd"/>
      <w:r w:rsidRPr="00C96360">
        <w:t xml:space="preserve"> in his book takes characteristics found in guilds in Europe and applies them to China.</w:t>
      </w:r>
      <w:r w:rsidR="00807D99" w:rsidRPr="00C96360">
        <w:t xml:space="preserve"> However, this approach may lead to overlooking certain unique characteristics. Therefore, this paper aims to address by analysing </w:t>
      </w:r>
      <w:r w:rsidRPr="00C96360">
        <w:t xml:space="preserve">Chinese guilds, find general characteristics and if they overlap with </w:t>
      </w:r>
      <w:proofErr w:type="spellStart"/>
      <w:r w:rsidRPr="00C96360">
        <w:t>Praaks</w:t>
      </w:r>
      <w:proofErr w:type="spellEnd"/>
      <w:r w:rsidRPr="00C96360">
        <w:t xml:space="preserve"> finding</w:t>
      </w:r>
      <w:r w:rsidR="00807D99" w:rsidRPr="00C96360">
        <w:t>s</w:t>
      </w:r>
      <w:r w:rsidRPr="00C96360">
        <w:t xml:space="preserve">. Some of the preliminary research regarding guilds indicate a strong religious role as well as financial. </w:t>
      </w:r>
      <w:r w:rsidR="00807D99" w:rsidRPr="00C96360">
        <w:t xml:space="preserve">A preliminary structure would be: </w:t>
      </w:r>
    </w:p>
    <w:p w14:paraId="74CC4E8D" w14:textId="2B1A7868" w:rsidR="008F473A" w:rsidRPr="00C96360" w:rsidRDefault="00807D99" w:rsidP="00C96360">
      <w:pPr>
        <w:pStyle w:val="ListParagraph"/>
        <w:numPr>
          <w:ilvl w:val="0"/>
          <w:numId w:val="1"/>
        </w:numPr>
      </w:pPr>
      <w:r w:rsidRPr="00C96360">
        <w:t xml:space="preserve">Discussion of the Chinese terminology and see if the term is translatable to European notions. </w:t>
      </w:r>
    </w:p>
    <w:p w14:paraId="744A1721" w14:textId="0953DF0A" w:rsidR="00807D99" w:rsidRPr="00C96360" w:rsidRDefault="00807D99" w:rsidP="00C96360">
      <w:pPr>
        <w:pStyle w:val="ListParagraph"/>
        <w:numPr>
          <w:ilvl w:val="0"/>
          <w:numId w:val="1"/>
        </w:numPr>
      </w:pPr>
      <w:r w:rsidRPr="00C96360">
        <w:t>Discussion of characteristics (about three main traits)</w:t>
      </w:r>
    </w:p>
    <w:p w14:paraId="257FA3DA" w14:textId="2E3E7D11" w:rsidR="00807D99" w:rsidRPr="00C96360" w:rsidRDefault="00807D99" w:rsidP="00C96360">
      <w:pPr>
        <w:pStyle w:val="ListParagraph"/>
        <w:numPr>
          <w:ilvl w:val="0"/>
          <w:numId w:val="1"/>
        </w:numPr>
      </w:pPr>
      <w:r w:rsidRPr="00C96360">
        <w:t xml:space="preserve">Similarities between China and European guilds </w:t>
      </w:r>
    </w:p>
    <w:p w14:paraId="6A00A234" w14:textId="61B64F19" w:rsidR="00807D99" w:rsidRDefault="00807D99" w:rsidP="00C96360">
      <w:pPr>
        <w:pStyle w:val="ListParagraph"/>
        <w:numPr>
          <w:ilvl w:val="0"/>
          <w:numId w:val="1"/>
        </w:numPr>
      </w:pPr>
      <w:r w:rsidRPr="00C96360">
        <w:t xml:space="preserve">Conclusions </w:t>
      </w:r>
    </w:p>
    <w:p w14:paraId="7328A66A" w14:textId="5F343F82" w:rsidR="00897CCE" w:rsidRDefault="00897CCE" w:rsidP="00897CCE">
      <w:pPr>
        <w:pStyle w:val="Heading1"/>
      </w:pPr>
      <w:r>
        <w:t>Difficulties</w:t>
      </w:r>
    </w:p>
    <w:p w14:paraId="1B07FB65" w14:textId="451DBF28" w:rsidR="00897CCE" w:rsidRDefault="00897CCE" w:rsidP="00897CCE">
      <w:r>
        <w:tab/>
      </w:r>
      <w:proofErr w:type="spellStart"/>
      <w:r>
        <w:t>Praak</w:t>
      </w:r>
      <w:proofErr w:type="spellEnd"/>
      <w:r>
        <w:t xml:space="preserve"> </w:t>
      </w:r>
      <w:r w:rsidR="0079428E">
        <w:t>required</w:t>
      </w:r>
      <w:r>
        <w:t xml:space="preserve"> an entire book to discuss guilds and how they shifted through time across Europe. I am facing </w:t>
      </w:r>
      <w:r w:rsidR="0079428E">
        <w:t>several</w:t>
      </w:r>
      <w:r>
        <w:t xml:space="preserve"> issue</w:t>
      </w:r>
      <w:r w:rsidR="0079428E">
        <w:t xml:space="preserve">s </w:t>
      </w:r>
      <w:r>
        <w:t>regarding the scope of the issue</w:t>
      </w:r>
      <w:r w:rsidR="008D6C51">
        <w:t xml:space="preserve">. </w:t>
      </w:r>
      <w:r>
        <w:t xml:space="preserve">Firstly, guilds in China are merchant and craft, merchants evolving first. I am unsure on how to account for this specific development. Should I gather the characteristics of both and treat them as a single unit? Secondly, and it is still an issue of scope. China is a huge </w:t>
      </w:r>
      <w:r w:rsidR="00C27531">
        <w:t>territory,</w:t>
      </w:r>
      <w:r>
        <w:t xml:space="preserve"> and guilds have regional variation within China. I am therefore unsure on how to approach this issue. </w:t>
      </w:r>
    </w:p>
    <w:p w14:paraId="25C97BE3" w14:textId="213B4184" w:rsidR="00897CCE" w:rsidRPr="00897CCE" w:rsidRDefault="00897CCE" w:rsidP="00897CCE">
      <w:r>
        <w:tab/>
        <w:t>I was thinking that maybe focusing on a specific guild would be useful but then the scope might be too narrow</w:t>
      </w:r>
      <w:r w:rsidR="00AC77F7">
        <w:t>. S</w:t>
      </w:r>
      <w:r>
        <w:t xml:space="preserve">ince I do not speak </w:t>
      </w:r>
      <w:r w:rsidR="00AC77F7">
        <w:t>Chinese,</w:t>
      </w:r>
      <w:r>
        <w:t xml:space="preserve"> I am limited to only English </w:t>
      </w:r>
      <w:r w:rsidR="00AC77F7">
        <w:t xml:space="preserve">and Spanish </w:t>
      </w:r>
      <w:r>
        <w:t xml:space="preserve">sources. </w:t>
      </w:r>
      <w:r w:rsidR="00AC77F7">
        <w:t xml:space="preserve">Specifying on a specific guild might lead to a lack of literature in my target languages. </w:t>
      </w:r>
    </w:p>
    <w:p w14:paraId="28CB4812" w14:textId="14815811" w:rsidR="00807D99" w:rsidRDefault="00C96360" w:rsidP="00C96360">
      <w:pPr>
        <w:pStyle w:val="Heading1"/>
      </w:pPr>
      <w:r w:rsidRPr="00C96360">
        <w:t xml:space="preserve">Preliminary bibliography </w:t>
      </w:r>
    </w:p>
    <w:p w14:paraId="14B8FAE5" w14:textId="35BBD8E3" w:rsidR="00C96360" w:rsidRPr="00C96360" w:rsidRDefault="00C96360" w:rsidP="00C96360">
      <w:pPr>
        <w:rPr>
          <w:b/>
          <w:bCs/>
          <w:i/>
          <w:iCs/>
        </w:rPr>
      </w:pPr>
      <w:r w:rsidRPr="00C96360">
        <w:rPr>
          <w:b/>
          <w:bCs/>
          <w:i/>
          <w:iCs/>
        </w:rPr>
        <w:t>Definitions and terms</w:t>
      </w:r>
    </w:p>
    <w:p w14:paraId="10F878DC" w14:textId="0EE5C4AB" w:rsidR="00C96360" w:rsidRPr="00C96360" w:rsidRDefault="00C96360" w:rsidP="00C96360">
      <w:pPr>
        <w:ind w:left="720" w:hanging="720"/>
        <w:rPr>
          <w:lang w:val="en-NL"/>
        </w:rPr>
      </w:pPr>
      <w:r w:rsidRPr="00C96360">
        <w:rPr>
          <w:lang w:val="en-NL"/>
        </w:rPr>
        <w:t xml:space="preserve">Chen, Zhongping. ‘The Origins of Chinese Chambers of Commerce in the Lower Yangzi Region’. </w:t>
      </w:r>
      <w:r w:rsidRPr="00C96360">
        <w:rPr>
          <w:i/>
          <w:iCs/>
          <w:lang w:val="en-NL"/>
        </w:rPr>
        <w:t>Modern China</w:t>
      </w:r>
      <w:r w:rsidRPr="00C96360">
        <w:rPr>
          <w:lang w:val="en-NL"/>
        </w:rPr>
        <w:t xml:space="preserve"> 27, no. 2 (April 2001): 155–201. </w:t>
      </w:r>
      <w:hyperlink r:id="rId5" w:history="1">
        <w:r w:rsidRPr="00C96360">
          <w:rPr>
            <w:rStyle w:val="Hyperlink"/>
            <w:lang w:val="en-NL"/>
          </w:rPr>
          <w:t>https://doi.org/10.1177/009770040102700201</w:t>
        </w:r>
      </w:hyperlink>
      <w:r w:rsidRPr="00C96360">
        <w:rPr>
          <w:lang w:val="en-NL"/>
        </w:rPr>
        <w:t>.</w:t>
      </w:r>
    </w:p>
    <w:p w14:paraId="42F9F0A3" w14:textId="77777777" w:rsidR="00C96360" w:rsidRPr="00C96360" w:rsidRDefault="00C96360" w:rsidP="00C96360">
      <w:pPr>
        <w:ind w:left="720" w:hanging="720"/>
        <w:rPr>
          <w:lang w:val="en-NL"/>
        </w:rPr>
      </w:pPr>
      <w:r w:rsidRPr="00C96360">
        <w:rPr>
          <w:lang w:val="en-NL"/>
        </w:rPr>
        <w:t xml:space="preserve">Moll-Murata, Christine. ‘Chinese Guilds from the Seventeenth to the Twentieth Centuries: An Overview’. </w:t>
      </w:r>
      <w:r w:rsidRPr="00C96360">
        <w:rPr>
          <w:i/>
          <w:iCs/>
          <w:lang w:val="en-NL"/>
        </w:rPr>
        <w:t>International Review of Social History</w:t>
      </w:r>
      <w:r w:rsidRPr="00C96360">
        <w:rPr>
          <w:lang w:val="en-NL"/>
        </w:rPr>
        <w:t xml:space="preserve"> 53, no. S16 (December 2008): 213–47. </w:t>
      </w:r>
      <w:hyperlink r:id="rId6" w:history="1">
        <w:r w:rsidRPr="00C96360">
          <w:rPr>
            <w:rStyle w:val="Hyperlink"/>
            <w:lang w:val="en-NL"/>
          </w:rPr>
          <w:t>https://doi.org/10.1017/S0020859008003672</w:t>
        </w:r>
      </w:hyperlink>
      <w:r w:rsidRPr="00C96360">
        <w:rPr>
          <w:lang w:val="en-NL"/>
        </w:rPr>
        <w:t>.</w:t>
      </w:r>
    </w:p>
    <w:p w14:paraId="5ECB9402" w14:textId="43F0A97B" w:rsidR="00C96360" w:rsidRPr="00C96360" w:rsidRDefault="00C96360" w:rsidP="00C96360">
      <w:pPr>
        <w:rPr>
          <w:lang w:val="en-NL"/>
        </w:rPr>
      </w:pPr>
      <w:r>
        <w:rPr>
          <w:b/>
          <w:bCs/>
          <w:i/>
          <w:iCs/>
          <w:lang w:val="en-NL"/>
        </w:rPr>
        <w:t>Financial aspect</w:t>
      </w:r>
    </w:p>
    <w:p w14:paraId="545E5AEB" w14:textId="77777777" w:rsidR="00C96360" w:rsidRPr="00C96360" w:rsidRDefault="00C96360" w:rsidP="00C96360">
      <w:pPr>
        <w:ind w:left="720" w:hanging="720"/>
        <w:rPr>
          <w:lang w:val="en-NL"/>
        </w:rPr>
      </w:pPr>
      <w:r w:rsidRPr="00C96360">
        <w:rPr>
          <w:lang w:val="en-NL"/>
        </w:rPr>
        <w:lastRenderedPageBreak/>
        <w:t xml:space="preserve">Liu, Kwang-Ching. ‘Chinese Merchant Guilds: An Historical Inquiry’. </w:t>
      </w:r>
      <w:r w:rsidRPr="00C96360">
        <w:rPr>
          <w:i/>
          <w:iCs/>
          <w:lang w:val="en-NL"/>
        </w:rPr>
        <w:t>Pacific Historical Review</w:t>
      </w:r>
      <w:r w:rsidRPr="00C96360">
        <w:rPr>
          <w:lang w:val="en-NL"/>
        </w:rPr>
        <w:t xml:space="preserve"> 57, no. 1 (1 February 1988): 1–23. </w:t>
      </w:r>
      <w:hyperlink r:id="rId7" w:history="1">
        <w:r w:rsidRPr="00C96360">
          <w:rPr>
            <w:rStyle w:val="Hyperlink"/>
            <w:lang w:val="en-NL"/>
          </w:rPr>
          <w:t>https://doi.org/10.2307/3639672</w:t>
        </w:r>
      </w:hyperlink>
      <w:r w:rsidRPr="00C96360">
        <w:rPr>
          <w:lang w:val="en-NL"/>
        </w:rPr>
        <w:t>.</w:t>
      </w:r>
    </w:p>
    <w:p w14:paraId="2A13863D" w14:textId="670CF1D9" w:rsidR="00C96360" w:rsidRPr="00C96360" w:rsidRDefault="00C96360" w:rsidP="00C96360">
      <w:pPr>
        <w:ind w:left="720" w:hanging="720"/>
        <w:rPr>
          <w:lang w:val="en-NL"/>
        </w:rPr>
      </w:pPr>
      <w:r w:rsidRPr="00C96360">
        <w:rPr>
          <w:lang w:val="en-NL"/>
        </w:rPr>
        <w:t xml:space="preserve">Qiao, Zhijian. ‘The Rise of Shanxi </w:t>
      </w:r>
      <w:r w:rsidR="006E20E8" w:rsidRPr="00C96360">
        <w:rPr>
          <w:lang w:val="en-NL"/>
        </w:rPr>
        <w:t>Merchants:</w:t>
      </w:r>
      <w:r w:rsidRPr="00C96360">
        <w:rPr>
          <w:lang w:val="en-NL"/>
        </w:rPr>
        <w:t xml:space="preserve"> Empire, Institutions, and Social Change in Qing China, 1688-1850’. Stanford University, 2017. </w:t>
      </w:r>
      <w:hyperlink r:id="rId8" w:history="1">
        <w:r w:rsidRPr="00C96360">
          <w:rPr>
            <w:rStyle w:val="Hyperlink"/>
            <w:lang w:val="en-NL"/>
          </w:rPr>
          <w:t>https://purl.stanford.edu/bg803zm7823</w:t>
        </w:r>
      </w:hyperlink>
      <w:r w:rsidRPr="00C96360">
        <w:rPr>
          <w:lang w:val="en-NL"/>
        </w:rPr>
        <w:t>.</w:t>
      </w:r>
    </w:p>
    <w:p w14:paraId="726DE38C" w14:textId="77777777" w:rsidR="00C96360" w:rsidRPr="00C96360" w:rsidRDefault="00C96360" w:rsidP="00C96360"/>
    <w:p w14:paraId="2A677765" w14:textId="77777777" w:rsidR="00C96360" w:rsidRPr="00C96360" w:rsidRDefault="00C96360" w:rsidP="00C96360"/>
    <w:sectPr w:rsidR="00C96360" w:rsidRPr="00C96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6520D"/>
    <w:multiLevelType w:val="hybridMultilevel"/>
    <w:tmpl w:val="078600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06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3A"/>
    <w:rsid w:val="003246F5"/>
    <w:rsid w:val="005C6521"/>
    <w:rsid w:val="006E20E8"/>
    <w:rsid w:val="0079428E"/>
    <w:rsid w:val="00807D99"/>
    <w:rsid w:val="00897CCE"/>
    <w:rsid w:val="008D6C51"/>
    <w:rsid w:val="008F473A"/>
    <w:rsid w:val="00AC77F7"/>
    <w:rsid w:val="00B56F63"/>
    <w:rsid w:val="00C27531"/>
    <w:rsid w:val="00C85980"/>
    <w:rsid w:val="00C9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A94A93"/>
  <w15:chartTrackingRefBased/>
  <w15:docId w15:val="{A1D458A9-EAF7-447C-BE86-F4585F73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360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6360"/>
    <w:pPr>
      <w:keepNext/>
      <w:keepLines/>
      <w:spacing w:before="360" w:after="80"/>
      <w:outlineLvl w:val="0"/>
    </w:pPr>
    <w:rPr>
      <w:rFonts w:eastAsiaTheme="majorEastAsia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360"/>
    <w:rPr>
      <w:rFonts w:ascii="Times New Roman" w:eastAsiaTheme="majorEastAsia" w:hAnsi="Times New Roman" w:cs="Times New Roman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7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7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7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7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7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63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8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30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9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40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rl.stanford.edu/bg803zm78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2307/36396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7/S0020859008003672" TargetMode="External"/><Relationship Id="rId5" Type="http://schemas.openxmlformats.org/officeDocument/2006/relationships/hyperlink" Target="https://doi.org/10.1177/00977004010270020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Yao</dc:creator>
  <cp:keywords/>
  <dc:description/>
  <cp:lastModifiedBy>Julia Yao</cp:lastModifiedBy>
  <cp:revision>21</cp:revision>
  <dcterms:created xsi:type="dcterms:W3CDTF">2024-10-08T19:05:00Z</dcterms:created>
  <dcterms:modified xsi:type="dcterms:W3CDTF">2024-10-08T19:36:00Z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id="du4SczXm"/&gt;&lt;style id="http://www.zotero.org/styles/chicago-fullnote-bibliography" locale="en-GB" hasBibliography="1" bibliographyStyleHasBeenSet="0"/&gt;&lt;prefs&gt;&lt;pref name="fieldType" value="Field"/&gt;</vt:lpwstr>
  </property>
  <property fmtid="{D5CDD505-2E9C-101B-9397-08002B2CF9AE}" pid="3" name="ZOTERO_PREF_2">
    <vt:lpwstr>&lt;pref name="noteType" value="1"/&gt;&lt;/prefs&gt;&lt;/data&gt;</vt:lpwstr>
  </property>
</Properties>
</file>