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1C6A2" w14:textId="32713EA1" w:rsidR="005E0504" w:rsidRPr="005E0504" w:rsidRDefault="00944267" w:rsidP="008B3EF0">
      <w:pPr>
        <w:rPr>
          <w:rFonts w:ascii="Times New Roman" w:hAnsi="Times New Roman" w:cs="Times New Roman"/>
        </w:rPr>
      </w:pPr>
      <w:r w:rsidRPr="005E0504">
        <w:rPr>
          <w:rFonts w:ascii="Times New Roman" w:hAnsi="Times New Roman" w:cs="Times New Roman"/>
        </w:rPr>
        <w:tab/>
        <w:t>In medieval and early modern history</w:t>
      </w:r>
      <w:r w:rsidR="00FF19E7" w:rsidRPr="005E0504">
        <w:rPr>
          <w:rFonts w:ascii="Times New Roman" w:hAnsi="Times New Roman" w:cs="Times New Roman"/>
        </w:rPr>
        <w:t xml:space="preserve"> religion </w:t>
      </w:r>
      <w:r w:rsidRPr="005E0504">
        <w:rPr>
          <w:rFonts w:ascii="Times New Roman" w:hAnsi="Times New Roman" w:cs="Times New Roman"/>
        </w:rPr>
        <w:t>was a cultural phenomenon that played a central role in people’s lives.</w:t>
      </w:r>
      <w:r w:rsidR="00FA6169" w:rsidRPr="005E0504">
        <w:rPr>
          <w:rStyle w:val="FootnoteReference"/>
          <w:rFonts w:ascii="Times New Roman" w:hAnsi="Times New Roman" w:cs="Times New Roman"/>
        </w:rPr>
        <w:footnoteReference w:id="1"/>
      </w:r>
      <w:r w:rsidR="00FF19E7" w:rsidRPr="005E0504">
        <w:rPr>
          <w:rFonts w:ascii="Times New Roman" w:hAnsi="Times New Roman" w:cs="Times New Roman"/>
        </w:rPr>
        <w:t xml:space="preserve"> Particularly in Europe, the Catholic church played in important role. </w:t>
      </w:r>
      <w:r w:rsidR="000E23ED" w:rsidRPr="005E0504">
        <w:rPr>
          <w:rFonts w:ascii="Times New Roman" w:hAnsi="Times New Roman" w:cs="Times New Roman"/>
        </w:rPr>
        <w:t>The enlightenment</w:t>
      </w:r>
      <w:r w:rsidR="00FF19E7" w:rsidRPr="005E0504">
        <w:rPr>
          <w:rFonts w:ascii="Times New Roman" w:hAnsi="Times New Roman" w:cs="Times New Roman"/>
        </w:rPr>
        <w:t xml:space="preserve"> however</w:t>
      </w:r>
      <w:r w:rsidR="000E23ED" w:rsidRPr="005E0504">
        <w:rPr>
          <w:rFonts w:ascii="Times New Roman" w:hAnsi="Times New Roman" w:cs="Times New Roman"/>
        </w:rPr>
        <w:t xml:space="preserve"> </w:t>
      </w:r>
      <w:r w:rsidR="00FF19E7" w:rsidRPr="005E0504">
        <w:rPr>
          <w:rFonts w:ascii="Times New Roman" w:hAnsi="Times New Roman" w:cs="Times New Roman"/>
        </w:rPr>
        <w:t>brought about new ideas which challenged the existing power structures which the church relied on.</w:t>
      </w:r>
      <w:r w:rsidR="000E23ED" w:rsidRPr="005E0504">
        <w:rPr>
          <w:rStyle w:val="FootnoteReference"/>
          <w:rFonts w:ascii="Times New Roman" w:hAnsi="Times New Roman" w:cs="Times New Roman"/>
        </w:rPr>
        <w:footnoteReference w:id="2"/>
      </w:r>
      <w:r w:rsidR="000E23ED" w:rsidRPr="005E0504">
        <w:rPr>
          <w:rFonts w:ascii="Times New Roman" w:hAnsi="Times New Roman" w:cs="Times New Roman"/>
        </w:rPr>
        <w:t xml:space="preserve"> Ever since the church has been trying to reckon with a changed world.</w:t>
      </w:r>
      <w:r w:rsidR="000E23ED" w:rsidRPr="005E0504">
        <w:rPr>
          <w:rStyle w:val="FootnoteReference"/>
          <w:rFonts w:ascii="Times New Roman" w:hAnsi="Times New Roman" w:cs="Times New Roman"/>
        </w:rPr>
        <w:footnoteReference w:id="3"/>
      </w:r>
      <w:r w:rsidR="008B3EF0" w:rsidRPr="005E0504">
        <w:rPr>
          <w:rFonts w:ascii="Times New Roman" w:hAnsi="Times New Roman" w:cs="Times New Roman"/>
        </w:rPr>
        <w:t xml:space="preserve"> That is not to say however that the Catholic church had no influence in world events. Notoriously the Catholic church played an important role in</w:t>
      </w:r>
      <w:r w:rsidR="00932BA6" w:rsidRPr="005E0504">
        <w:rPr>
          <w:rFonts w:ascii="Times New Roman" w:hAnsi="Times New Roman" w:cs="Times New Roman"/>
        </w:rPr>
        <w:t xml:space="preserve"> legitimizing</w:t>
      </w:r>
      <w:r w:rsidR="008B3EF0" w:rsidRPr="005E0504">
        <w:rPr>
          <w:rFonts w:ascii="Times New Roman" w:hAnsi="Times New Roman" w:cs="Times New Roman"/>
        </w:rPr>
        <w:t xml:space="preserve"> Mussolini’s fascist </w:t>
      </w:r>
      <w:r w:rsidR="00932BA6" w:rsidRPr="005E0504">
        <w:rPr>
          <w:rFonts w:ascii="Times New Roman" w:hAnsi="Times New Roman" w:cs="Times New Roman"/>
        </w:rPr>
        <w:t>regime</w:t>
      </w:r>
      <w:r w:rsidR="008B3EF0" w:rsidRPr="005E0504">
        <w:rPr>
          <w:rFonts w:ascii="Times New Roman" w:hAnsi="Times New Roman" w:cs="Times New Roman"/>
        </w:rPr>
        <w:t>.</w:t>
      </w:r>
      <w:r w:rsidR="00932BA6" w:rsidRPr="005E0504">
        <w:rPr>
          <w:rStyle w:val="FootnoteReference"/>
          <w:rFonts w:ascii="Times New Roman" w:hAnsi="Times New Roman" w:cs="Times New Roman"/>
        </w:rPr>
        <w:footnoteReference w:id="4"/>
      </w:r>
      <w:r w:rsidR="008B3EF0" w:rsidRPr="005E0504">
        <w:rPr>
          <w:rFonts w:ascii="Times New Roman" w:hAnsi="Times New Roman" w:cs="Times New Roman"/>
        </w:rPr>
        <w:t xml:space="preserve"> </w:t>
      </w:r>
      <w:r w:rsidR="00932BA6" w:rsidRPr="005E0504">
        <w:rPr>
          <w:rFonts w:ascii="Times New Roman" w:hAnsi="Times New Roman" w:cs="Times New Roman"/>
        </w:rPr>
        <w:t xml:space="preserve">However </w:t>
      </w:r>
      <w:r w:rsidR="00574CF1" w:rsidRPr="005E0504">
        <w:rPr>
          <w:rFonts w:ascii="Times New Roman" w:hAnsi="Times New Roman" w:cs="Times New Roman"/>
        </w:rPr>
        <w:t>there is not a united Catholic experience of fascism.</w:t>
      </w:r>
      <w:r w:rsidR="00574CF1" w:rsidRPr="005E0504">
        <w:rPr>
          <w:rStyle w:val="FootnoteReference"/>
          <w:rFonts w:ascii="Times New Roman" w:hAnsi="Times New Roman" w:cs="Times New Roman"/>
        </w:rPr>
        <w:footnoteReference w:id="5"/>
      </w:r>
      <w:r w:rsidR="0085120A" w:rsidRPr="005E0504">
        <w:rPr>
          <w:rFonts w:ascii="Times New Roman" w:hAnsi="Times New Roman" w:cs="Times New Roman"/>
        </w:rPr>
        <w:t xml:space="preserve"> </w:t>
      </w:r>
      <w:r w:rsidR="00055FD8" w:rsidRPr="005E0504">
        <w:rPr>
          <w:rFonts w:ascii="Times New Roman" w:hAnsi="Times New Roman" w:cs="Times New Roman"/>
          <w:i/>
          <w:iCs/>
        </w:rPr>
        <w:t>Political Catholicism in Europe, 1918-1965</w:t>
      </w:r>
      <w:r w:rsidR="00055FD8" w:rsidRPr="005E0504">
        <w:rPr>
          <w:rFonts w:ascii="Times New Roman" w:hAnsi="Times New Roman" w:cs="Times New Roman"/>
        </w:rPr>
        <w:t xml:space="preserve"> traces</w:t>
      </w:r>
      <w:r w:rsidR="0075090D" w:rsidRPr="005E0504">
        <w:rPr>
          <w:rFonts w:ascii="Times New Roman" w:hAnsi="Times New Roman" w:cs="Times New Roman"/>
        </w:rPr>
        <w:t xml:space="preserve"> the various experiences of</w:t>
      </w:r>
      <w:r w:rsidR="00055FD8" w:rsidRPr="005E0504">
        <w:rPr>
          <w:rFonts w:ascii="Times New Roman" w:hAnsi="Times New Roman" w:cs="Times New Roman"/>
        </w:rPr>
        <w:t xml:space="preserve"> </w:t>
      </w:r>
      <w:r w:rsidR="0075090D" w:rsidRPr="005E0504">
        <w:rPr>
          <w:rFonts w:ascii="Times New Roman" w:hAnsi="Times New Roman" w:cs="Times New Roman"/>
        </w:rPr>
        <w:t xml:space="preserve">catholic mobilizing </w:t>
      </w:r>
      <w:r w:rsidR="00055FD8" w:rsidRPr="005E0504">
        <w:rPr>
          <w:rFonts w:ascii="Times New Roman" w:hAnsi="Times New Roman" w:cs="Times New Roman"/>
        </w:rPr>
        <w:t xml:space="preserve">during the world wars and their aftermath. </w:t>
      </w:r>
      <w:r w:rsidR="0075090D" w:rsidRPr="005E0504">
        <w:rPr>
          <w:rFonts w:ascii="Times New Roman" w:hAnsi="Times New Roman" w:cs="Times New Roman"/>
        </w:rPr>
        <w:t xml:space="preserve">In particular this work will look at how Buchanan and Conway discuss the experiences of Catholics during fascism, paying particular attention to the differences between Mussolini and Hitler. </w:t>
      </w:r>
      <w:r w:rsidR="00CF3AE4" w:rsidRPr="005E0504">
        <w:rPr>
          <w:rFonts w:ascii="Times New Roman" w:hAnsi="Times New Roman" w:cs="Times New Roman"/>
        </w:rPr>
        <w:t>To provide a framework of critique I will use Bloch’s work.</w:t>
      </w:r>
      <w:r w:rsidR="00CF3AE4" w:rsidRPr="005E0504">
        <w:rPr>
          <w:rStyle w:val="FootnoteReference"/>
          <w:rFonts w:ascii="Times New Roman" w:hAnsi="Times New Roman" w:cs="Times New Roman"/>
        </w:rPr>
        <w:footnoteReference w:id="6"/>
      </w:r>
    </w:p>
    <w:p w14:paraId="3D7C7D8E" w14:textId="77777777" w:rsidR="005E0504" w:rsidRPr="005E0504" w:rsidRDefault="005E0504">
      <w:pPr>
        <w:rPr>
          <w:rFonts w:ascii="Times New Roman" w:hAnsi="Times New Roman" w:cs="Times New Roman"/>
        </w:rPr>
      </w:pPr>
      <w:r w:rsidRPr="005E0504">
        <w:rPr>
          <w:rFonts w:ascii="Times New Roman" w:hAnsi="Times New Roman" w:cs="Times New Roman"/>
        </w:rPr>
        <w:br w:type="page"/>
      </w:r>
    </w:p>
    <w:p w14:paraId="056C9A89" w14:textId="1E732FED" w:rsidR="002D5EF5" w:rsidRPr="005E0504" w:rsidRDefault="005E0504" w:rsidP="008B3EF0">
      <w:pPr>
        <w:rPr>
          <w:rFonts w:ascii="Times New Roman" w:hAnsi="Times New Roman" w:cs="Times New Roman"/>
          <w:b/>
          <w:bCs/>
        </w:rPr>
      </w:pPr>
      <w:r w:rsidRPr="005E0504">
        <w:rPr>
          <w:rFonts w:ascii="Times New Roman" w:hAnsi="Times New Roman" w:cs="Times New Roman"/>
          <w:b/>
          <w:bCs/>
        </w:rPr>
        <w:lastRenderedPageBreak/>
        <w:t>Sources</w:t>
      </w:r>
    </w:p>
    <w:p w14:paraId="4551CD81" w14:textId="77777777" w:rsidR="005E0504" w:rsidRPr="005E0504" w:rsidRDefault="005E0504" w:rsidP="005E0504">
      <w:pPr>
        <w:pStyle w:val="Bibliography"/>
        <w:rPr>
          <w:rFonts w:ascii="Times New Roman" w:hAnsi="Times New Roman" w:cs="Times New Roman"/>
        </w:rPr>
      </w:pPr>
      <w:r w:rsidRPr="005E0504">
        <w:rPr>
          <w:rFonts w:ascii="Times New Roman" w:hAnsi="Times New Roman" w:cs="Times New Roman"/>
          <w:b/>
          <w:bCs/>
        </w:rPr>
        <w:fldChar w:fldCharType="begin"/>
      </w:r>
      <w:r w:rsidRPr="005E0504">
        <w:rPr>
          <w:rFonts w:ascii="Times New Roman" w:hAnsi="Times New Roman" w:cs="Times New Roman"/>
          <w:b/>
          <w:bCs/>
        </w:rPr>
        <w:instrText xml:space="preserve"> ADDIN ZOTERO_BIBL {"uncited":[],"omitted":[],"custom":[]} CSL_BIBLIOGRAPHY </w:instrText>
      </w:r>
      <w:r w:rsidRPr="005E0504">
        <w:rPr>
          <w:rFonts w:ascii="Times New Roman" w:hAnsi="Times New Roman" w:cs="Times New Roman"/>
          <w:b/>
          <w:bCs/>
        </w:rPr>
        <w:fldChar w:fldCharType="separate"/>
      </w:r>
      <w:r w:rsidRPr="005E0504">
        <w:rPr>
          <w:rFonts w:ascii="Times New Roman" w:hAnsi="Times New Roman" w:cs="Times New Roman"/>
        </w:rPr>
        <w:t xml:space="preserve">Anderson, Benedict. 2006. </w:t>
      </w:r>
      <w:r w:rsidRPr="005E0504">
        <w:rPr>
          <w:rFonts w:ascii="Times New Roman" w:hAnsi="Times New Roman" w:cs="Times New Roman"/>
          <w:i/>
          <w:iCs/>
        </w:rPr>
        <w:t>Imagined Communities: Reflections on the Origin and Spread of Nationalism</w:t>
      </w:r>
      <w:r w:rsidRPr="005E0504">
        <w:rPr>
          <w:rFonts w:ascii="Times New Roman" w:hAnsi="Times New Roman" w:cs="Times New Roman"/>
        </w:rPr>
        <w:t>. Rev. ed. London ; New York: Verso.</w:t>
      </w:r>
    </w:p>
    <w:p w14:paraId="6E45AB4C" w14:textId="77777777" w:rsidR="005E0504" w:rsidRPr="005E0504" w:rsidRDefault="005E0504" w:rsidP="005E0504">
      <w:pPr>
        <w:pStyle w:val="Bibliography"/>
        <w:rPr>
          <w:rFonts w:ascii="Times New Roman" w:hAnsi="Times New Roman" w:cs="Times New Roman"/>
        </w:rPr>
      </w:pPr>
      <w:r w:rsidRPr="005E0504">
        <w:rPr>
          <w:rFonts w:ascii="Times New Roman" w:hAnsi="Times New Roman" w:cs="Times New Roman"/>
        </w:rPr>
        <w:t xml:space="preserve">Bloch, Marc. 2022. “A Contribution towards a Comparative History of European Societies.” In </w:t>
      </w:r>
      <w:r w:rsidRPr="005E0504">
        <w:rPr>
          <w:rFonts w:ascii="Times New Roman" w:hAnsi="Times New Roman" w:cs="Times New Roman"/>
          <w:i/>
          <w:iCs/>
        </w:rPr>
        <w:t>The Rise of Comparative History</w:t>
      </w:r>
      <w:r w:rsidRPr="005E0504">
        <w:rPr>
          <w:rFonts w:ascii="Times New Roman" w:hAnsi="Times New Roman" w:cs="Times New Roman"/>
        </w:rPr>
        <w:t>, 89–124. Budapest, Hungary: Central European University Press.</w:t>
      </w:r>
    </w:p>
    <w:p w14:paraId="01C96FDC" w14:textId="77777777" w:rsidR="005E0504" w:rsidRPr="005E0504" w:rsidRDefault="005E0504" w:rsidP="005E0504">
      <w:pPr>
        <w:pStyle w:val="Bibliography"/>
        <w:rPr>
          <w:rFonts w:ascii="Times New Roman" w:hAnsi="Times New Roman" w:cs="Times New Roman"/>
        </w:rPr>
      </w:pPr>
      <w:r w:rsidRPr="005E0504">
        <w:rPr>
          <w:rFonts w:ascii="Times New Roman" w:hAnsi="Times New Roman" w:cs="Times New Roman"/>
        </w:rPr>
        <w:t xml:space="preserve">Conway, Martin. 2009. “Catholicism during the Second World War.” In </w:t>
      </w:r>
      <w:r w:rsidRPr="005E0504">
        <w:rPr>
          <w:rFonts w:ascii="Times New Roman" w:hAnsi="Times New Roman" w:cs="Times New Roman"/>
          <w:i/>
          <w:iCs/>
        </w:rPr>
        <w:t>Catholic Politics in Europe 1918–1945</w:t>
      </w:r>
      <w:r w:rsidRPr="005E0504">
        <w:rPr>
          <w:rFonts w:ascii="Times New Roman" w:hAnsi="Times New Roman" w:cs="Times New Roman"/>
        </w:rPr>
        <w:t>, 56–69. Historical Connections.</w:t>
      </w:r>
    </w:p>
    <w:p w14:paraId="27D4F81B" w14:textId="77777777" w:rsidR="005E0504" w:rsidRPr="005E0504" w:rsidRDefault="005E0504" w:rsidP="005E0504">
      <w:pPr>
        <w:pStyle w:val="Bibliography"/>
        <w:rPr>
          <w:rFonts w:ascii="Times New Roman" w:hAnsi="Times New Roman" w:cs="Times New Roman"/>
        </w:rPr>
      </w:pPr>
      <w:r w:rsidRPr="005E0504">
        <w:rPr>
          <w:rFonts w:ascii="Times New Roman" w:hAnsi="Times New Roman" w:cs="Times New Roman"/>
        </w:rPr>
        <w:t xml:space="preserve">Daly, Gabriel. 1985. “Catholicism and Modernity.” </w:t>
      </w:r>
      <w:r w:rsidRPr="005E0504">
        <w:rPr>
          <w:rFonts w:ascii="Times New Roman" w:hAnsi="Times New Roman" w:cs="Times New Roman"/>
          <w:i/>
          <w:iCs/>
        </w:rPr>
        <w:t>Journal of the American Academy of Religion</w:t>
      </w:r>
      <w:r w:rsidRPr="005E0504">
        <w:rPr>
          <w:rFonts w:ascii="Times New Roman" w:hAnsi="Times New Roman" w:cs="Times New Roman"/>
        </w:rPr>
        <w:t xml:space="preserve"> 53 (4): 773–96.</w:t>
      </w:r>
    </w:p>
    <w:p w14:paraId="303EEB98" w14:textId="77777777" w:rsidR="005E0504" w:rsidRPr="005E0504" w:rsidRDefault="005E0504" w:rsidP="005E0504">
      <w:pPr>
        <w:pStyle w:val="Bibliography"/>
        <w:rPr>
          <w:rFonts w:ascii="Times New Roman" w:hAnsi="Times New Roman" w:cs="Times New Roman"/>
        </w:rPr>
      </w:pPr>
      <w:proofErr w:type="spellStart"/>
      <w:r w:rsidRPr="005E0504">
        <w:rPr>
          <w:rFonts w:ascii="Times New Roman" w:hAnsi="Times New Roman" w:cs="Times New Roman"/>
        </w:rPr>
        <w:t>Greyerz</w:t>
      </w:r>
      <w:proofErr w:type="spellEnd"/>
      <w:r w:rsidRPr="005E0504">
        <w:rPr>
          <w:rFonts w:ascii="Times New Roman" w:hAnsi="Times New Roman" w:cs="Times New Roman"/>
        </w:rPr>
        <w:t xml:space="preserve">, Kaspar von. 2007. </w:t>
      </w:r>
      <w:r w:rsidRPr="005E0504">
        <w:rPr>
          <w:rFonts w:ascii="Times New Roman" w:hAnsi="Times New Roman" w:cs="Times New Roman"/>
          <w:i/>
          <w:iCs/>
        </w:rPr>
        <w:t>Religion and Culture in Early Modern Europe, 1500-1800</w:t>
      </w:r>
      <w:r w:rsidRPr="005E0504">
        <w:rPr>
          <w:rFonts w:ascii="Times New Roman" w:hAnsi="Times New Roman" w:cs="Times New Roman"/>
        </w:rPr>
        <w:t>. Oxford: Oxford University Press.</w:t>
      </w:r>
    </w:p>
    <w:p w14:paraId="78E0F125" w14:textId="77777777" w:rsidR="005E0504" w:rsidRPr="005E0504" w:rsidRDefault="005E0504" w:rsidP="005E0504">
      <w:pPr>
        <w:pStyle w:val="Bibliography"/>
        <w:rPr>
          <w:rFonts w:ascii="Times New Roman" w:hAnsi="Times New Roman" w:cs="Times New Roman"/>
        </w:rPr>
      </w:pPr>
      <w:r w:rsidRPr="005E0504">
        <w:rPr>
          <w:rFonts w:ascii="Times New Roman" w:hAnsi="Times New Roman" w:cs="Times New Roman"/>
        </w:rPr>
        <w:t xml:space="preserve">Kertzer, David I. 2014. </w:t>
      </w:r>
      <w:r w:rsidRPr="005E0504">
        <w:rPr>
          <w:rFonts w:ascii="Times New Roman" w:hAnsi="Times New Roman" w:cs="Times New Roman"/>
          <w:i/>
          <w:iCs/>
        </w:rPr>
        <w:t>The Pope and Mussolini: The Secret History of Pius XI and the Rise of Fascism in Europe</w:t>
      </w:r>
      <w:r w:rsidRPr="005E0504">
        <w:rPr>
          <w:rFonts w:ascii="Times New Roman" w:hAnsi="Times New Roman" w:cs="Times New Roman"/>
        </w:rPr>
        <w:t>. First edition. New York: Random House.</w:t>
      </w:r>
    </w:p>
    <w:p w14:paraId="28651A75" w14:textId="2AAB7B6A" w:rsidR="005E0504" w:rsidRPr="005E0504" w:rsidRDefault="005E0504" w:rsidP="008B3EF0">
      <w:pPr>
        <w:rPr>
          <w:rFonts w:ascii="Times New Roman" w:hAnsi="Times New Roman" w:cs="Times New Roman"/>
          <w:b/>
          <w:bCs/>
        </w:rPr>
      </w:pPr>
      <w:r w:rsidRPr="005E0504">
        <w:rPr>
          <w:rFonts w:ascii="Times New Roman" w:hAnsi="Times New Roman" w:cs="Times New Roman"/>
          <w:b/>
          <w:bCs/>
        </w:rPr>
        <w:fldChar w:fldCharType="end"/>
      </w:r>
    </w:p>
    <w:sectPr w:rsidR="005E0504" w:rsidRPr="005E050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100DC" w14:textId="77777777" w:rsidR="00587C69" w:rsidRDefault="00587C69" w:rsidP="00FA6169">
      <w:pPr>
        <w:spacing w:after="0" w:line="240" w:lineRule="auto"/>
      </w:pPr>
      <w:r>
        <w:separator/>
      </w:r>
    </w:p>
  </w:endnote>
  <w:endnote w:type="continuationSeparator" w:id="0">
    <w:p w14:paraId="2530B033" w14:textId="77777777" w:rsidR="00587C69" w:rsidRDefault="00587C69" w:rsidP="00FA6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D5938" w14:textId="77777777" w:rsidR="00587C69" w:rsidRDefault="00587C69" w:rsidP="00FA6169">
      <w:pPr>
        <w:spacing w:after="0" w:line="240" w:lineRule="auto"/>
      </w:pPr>
      <w:r>
        <w:separator/>
      </w:r>
    </w:p>
  </w:footnote>
  <w:footnote w:type="continuationSeparator" w:id="0">
    <w:p w14:paraId="2BD6CFA5" w14:textId="77777777" w:rsidR="00587C69" w:rsidRDefault="00587C69" w:rsidP="00FA6169">
      <w:pPr>
        <w:spacing w:after="0" w:line="240" w:lineRule="auto"/>
      </w:pPr>
      <w:r>
        <w:continuationSeparator/>
      </w:r>
    </w:p>
  </w:footnote>
  <w:footnote w:id="1">
    <w:p w14:paraId="1D11C912" w14:textId="62E50289" w:rsidR="00FA6169" w:rsidRDefault="00FA6169">
      <w:pPr>
        <w:pStyle w:val="FootnoteText"/>
      </w:pPr>
      <w:r>
        <w:rPr>
          <w:rStyle w:val="FootnoteReference"/>
        </w:rPr>
        <w:footnoteRef/>
      </w:r>
      <w:r w:rsidR="00CF3AE4">
        <w:t xml:space="preserve"> </w:t>
      </w:r>
      <w:r>
        <w:fldChar w:fldCharType="begin"/>
      </w:r>
      <w:r>
        <w:instrText xml:space="preserve"> ADDIN ZOTERO_ITEM CSL_CITATION {"citationID":"y2wttLVV","properties":{"formattedCitation":"(Greyerz 2007, 5)","plainCitation":"(Greyerz 2007, 5)","noteIndex":1},"citationItems":[{"id":1908,"uris":["http://zotero.org/users/9264098/items/WTRCAUXY"],"itemData":{"id":1908,"type":"book","abstract":"In the pre-industrial societies of early modern Europe, religion was a vessel of fundamental importance in making sense of personal and collective social, cultural and spiritual exercises. This text presents Kaspar von Greyerz's important overview and interpretation of the religions and cultures of Early Modern Europe","event-place":"Oxford","ISBN":"978-0-19-804384-3","language":"eng","note":"OCLC: 183192397","publisher":"Oxford University Press","publisher-place":"Oxford","source":"Open WorldCat","title":"Religion and Culture in Early Modern Europe, 1500-1800","author":[{"family":"Greyerz","given":"Kaspar","dropping-particle":"von"}],"issued":{"date-parts":[["2007"]]},"citation-key":"greyerzReligionCultureEarly2007"},"locator":"5"}],"schema":"https://github.com/citation-style-language/schema/raw/master/csl-citation.json"} </w:instrText>
      </w:r>
      <w:r>
        <w:fldChar w:fldCharType="separate"/>
      </w:r>
      <w:r w:rsidRPr="00FA6169">
        <w:rPr>
          <w:rFonts w:ascii="Aptos" w:hAnsi="Aptos"/>
        </w:rPr>
        <w:t>(</w:t>
      </w:r>
      <w:proofErr w:type="spellStart"/>
      <w:r w:rsidRPr="00FA6169">
        <w:rPr>
          <w:rFonts w:ascii="Aptos" w:hAnsi="Aptos"/>
        </w:rPr>
        <w:t>Greyerz</w:t>
      </w:r>
      <w:proofErr w:type="spellEnd"/>
      <w:r w:rsidRPr="00FA6169">
        <w:rPr>
          <w:rFonts w:ascii="Aptos" w:hAnsi="Aptos"/>
        </w:rPr>
        <w:t xml:space="preserve"> 2007, 5)</w:t>
      </w:r>
      <w:r>
        <w:fldChar w:fldCharType="end"/>
      </w:r>
    </w:p>
  </w:footnote>
  <w:footnote w:id="2">
    <w:p w14:paraId="72191158" w14:textId="069F2E0B" w:rsidR="000E23ED" w:rsidRDefault="000E23ED">
      <w:pPr>
        <w:pStyle w:val="FootnoteText"/>
      </w:pPr>
      <w:r>
        <w:rPr>
          <w:rStyle w:val="FootnoteReference"/>
        </w:rPr>
        <w:footnoteRef/>
      </w:r>
      <w:r w:rsidR="00CF3AE4">
        <w:t xml:space="preserve"> </w:t>
      </w:r>
      <w:r>
        <w:fldChar w:fldCharType="begin"/>
      </w:r>
      <w:r>
        <w:instrText xml:space="preserve"> ADDIN ZOTERO_ITEM CSL_CITATION {"citationID":"HBT9frj2","properties":{"formattedCitation":"(Anderson 2006, 11)","plainCitation":"(Anderson 2006, 11)","noteIndex":2},"citationItems":[{"id":1221,"uris":["http://zotero.org/users/9264098/items/5VD96UFK"],"itemData":{"id":1221,"type":"book","call-number":"JC311 .A656 2006","edition":"Rev. ed","event-place":"London ; New York","ISBN":"978-1-84467-086-4","number-of-pages":"240","publisher":"Verso","publisher-place":"London ; New York","source":"Library of Congress ISBN","title":"Imagined Communities: Reflections on the Origin and Spread of Nationalism","title-short":"Imagined communities","author":[{"family":"Anderson","given":"Benedict"}],"issued":{"date-parts":[["2006"]]},"citation-key":"andersonImaginedCommunitiesReflections2006"},"locator":"11"}],"schema":"https://github.com/citation-style-language/schema/raw/master/csl-citation.json"} </w:instrText>
      </w:r>
      <w:r>
        <w:fldChar w:fldCharType="separate"/>
      </w:r>
      <w:r w:rsidRPr="000E23ED">
        <w:rPr>
          <w:rFonts w:ascii="Aptos" w:hAnsi="Aptos"/>
        </w:rPr>
        <w:t>(Anderson 2006, 11)</w:t>
      </w:r>
      <w:r>
        <w:fldChar w:fldCharType="end"/>
      </w:r>
    </w:p>
  </w:footnote>
  <w:footnote w:id="3">
    <w:p w14:paraId="595F6258" w14:textId="23B62188" w:rsidR="000E23ED" w:rsidRDefault="000E23ED">
      <w:pPr>
        <w:pStyle w:val="FootnoteText"/>
      </w:pPr>
      <w:r>
        <w:rPr>
          <w:rStyle w:val="FootnoteReference"/>
        </w:rPr>
        <w:footnoteRef/>
      </w:r>
      <w:r w:rsidR="00CF3AE4">
        <w:t xml:space="preserve"> </w:t>
      </w:r>
      <w:r>
        <w:fldChar w:fldCharType="begin"/>
      </w:r>
      <w:r>
        <w:instrText xml:space="preserve"> ADDIN ZOTERO_ITEM CSL_CITATION {"citationID":"Mlc4vtdN","properties":{"formattedCitation":"(Daly 1985, 774)","plainCitation":"(Daly 1985, 774)","noteIndex":3},"citationItems":[{"id":1909,"uris":["http://zotero.org/users/9264098/items/F2RNFZZ3"],"itemData":{"id":1909,"type":"article-journal","container-title":"Journal of the American Academy of Religion","ISSN":"00027189, 14774585","issue":"4","note":"Citation Key: 1d7ea5df-96d8-363b-921b-10a369b7365d\npublisher: [Oxford University Press, American Academy of Religion]","page":"773–796","title":"Catholicism and modernity","volume":"53","author":[{"family":"Daly","given":"Gabriel"}],"issued":{"date-parts":[["1985"]]},"citation-key":"1d7ea5df-96d8-363b-921b-10a369b7365d"},"locator":"774","label":"page"}],"schema":"https://github.com/citation-style-language/schema/raw/master/csl-citation.json"} </w:instrText>
      </w:r>
      <w:r>
        <w:fldChar w:fldCharType="separate"/>
      </w:r>
      <w:r w:rsidRPr="000E23ED">
        <w:rPr>
          <w:rFonts w:ascii="Aptos" w:hAnsi="Aptos"/>
        </w:rPr>
        <w:t>(Daly 1985, 774)</w:t>
      </w:r>
      <w:r>
        <w:fldChar w:fldCharType="end"/>
      </w:r>
    </w:p>
  </w:footnote>
  <w:footnote w:id="4">
    <w:p w14:paraId="7A60D1BB" w14:textId="1D312777" w:rsidR="00932BA6" w:rsidRDefault="00932BA6">
      <w:pPr>
        <w:pStyle w:val="FootnoteText"/>
      </w:pPr>
      <w:r>
        <w:rPr>
          <w:rStyle w:val="FootnoteReference"/>
        </w:rPr>
        <w:footnoteRef/>
      </w:r>
      <w:r w:rsidR="00CF3AE4">
        <w:t xml:space="preserve"> </w:t>
      </w:r>
      <w:r>
        <w:fldChar w:fldCharType="begin"/>
      </w:r>
      <w:r>
        <w:instrText xml:space="preserve"> ADDIN ZOTERO_ITEM CSL_CITATION {"citationID":"5KXZZa3y","properties":{"formattedCitation":"(Kertzer 2014, 48)","plainCitation":"(Kertzer 2014, 48)","noteIndex":4},"citationItems":[{"id":1910,"uris":["http://zotero.org/users/9264098/items/TSGBEADB"],"itemData":{"id":1910,"type":"book","call-number":"BX1377 .K47 2014","edition":"First edition","event-place":"New York","ISBN":"978-0-8129-9346-2","number-of-pages":"549","publisher":"Random House","publisher-place":"New York","source":"Library of Congress ISBN","title":"The Pope and Mussolini: the secret history of Pius XI and the rise of Fascism in Europe","title-short":"The Pope and Mussolini","author":[{"family":"Kertzer","given":"David I."}],"issued":{"date-parts":[["2014"]]},"citation-key":"kertzerPopeMussoliniSecret2014"},"locator":"48"}],"schema":"https://github.com/citation-style-language/schema/raw/master/csl-citation.json"} </w:instrText>
      </w:r>
      <w:r>
        <w:fldChar w:fldCharType="separate"/>
      </w:r>
      <w:r w:rsidRPr="00932BA6">
        <w:rPr>
          <w:rFonts w:ascii="Aptos" w:hAnsi="Aptos"/>
        </w:rPr>
        <w:t>(Kertzer 2014, 48)</w:t>
      </w:r>
      <w:r>
        <w:fldChar w:fldCharType="end"/>
      </w:r>
    </w:p>
  </w:footnote>
  <w:footnote w:id="5">
    <w:p w14:paraId="65EEBCFA" w14:textId="01C3B788" w:rsidR="00574CF1" w:rsidRPr="00CF3AE4" w:rsidRDefault="00574CF1">
      <w:pPr>
        <w:pStyle w:val="FootnoteText"/>
      </w:pPr>
      <w:r>
        <w:rPr>
          <w:rStyle w:val="FootnoteReference"/>
        </w:rPr>
        <w:footnoteRef/>
      </w:r>
      <w:r w:rsidR="00CF3AE4">
        <w:t xml:space="preserve"> </w:t>
      </w:r>
      <w:r>
        <w:fldChar w:fldCharType="begin"/>
      </w:r>
      <w:r>
        <w:instrText xml:space="preserve"> ADDIN ZOTERO_ITEM CSL_CITATION {"citationID":"yxdWgBsS","properties":{"formattedCitation":"(Conway 2009, 56)","plainCitation":"(Conway 2009, 56)","noteIndex":5},"citationItems":[{"id":1911,"uris":["http://zotero.org/users/9264098/items/CZG5KW2J"],"itemData":{"id":1911,"type":"chapter","collection-title":"Historical Connections","container-title":"Catholic politics in Europe 1918–1945","page":"56-69","title":"Catholicism during the Second World War","author":[{"family":"Conway","given":"Martin"}],"issued":{"date-parts":[["2009"]]},"citation-key":"conwayCatholicismSecondWorld2009"},"locator":"56"}],"schema":"https://github.com/citation-style-language/schema/raw/master/csl-citation.json"} </w:instrText>
      </w:r>
      <w:r>
        <w:fldChar w:fldCharType="separate"/>
      </w:r>
      <w:r w:rsidRPr="00574CF1">
        <w:rPr>
          <w:rFonts w:ascii="Aptos" w:hAnsi="Aptos"/>
        </w:rPr>
        <w:t>(Conway 2009, 56)</w:t>
      </w:r>
      <w:r>
        <w:fldChar w:fldCharType="end"/>
      </w:r>
    </w:p>
  </w:footnote>
  <w:footnote w:id="6">
    <w:p w14:paraId="7044EA49" w14:textId="4C6491D4" w:rsidR="00CF3AE4" w:rsidRDefault="00CF3AE4">
      <w:pPr>
        <w:pStyle w:val="FootnoteText"/>
      </w:pPr>
      <w:r>
        <w:rPr>
          <w:rStyle w:val="FootnoteReference"/>
        </w:rPr>
        <w:footnoteRef/>
      </w:r>
      <w:r>
        <w:t xml:space="preserve"> </w:t>
      </w:r>
      <w:r>
        <w:fldChar w:fldCharType="begin"/>
      </w:r>
      <w:r>
        <w:instrText xml:space="preserve"> ADDIN ZOTERO_ITEM CSL_CITATION {"citationID":"KxeX5id3","properties":{"formattedCitation":"(Bloch 2022)","plainCitation":"(Bloch 2022)","noteIndex":6},"citationItems":[{"id":1854,"uris":["http://zotero.org/users/9264098/items/QGH5LTX6"],"itemData":{"id":1854,"type":"chapter","container-title":"The rise of comparative history","event-place":"Budapest, Hungary","ISBN":"963-386-362-7","language":"eng","note":"Citation Key: BlochMarc2022ACTa\ntex.copyright: 2022, Central European University Press, Budapest, Hungary","page":"89-124","publisher":"Central European University Press","publisher-place":"Budapest, Hungary","title":"A contribution towards a comparative history of european societies","author":[{"family":"Bloch","given":"Marc"}],"issued":{"date-parts":[["2022"]]},"citation-key":"BlochMarc2022ACTa"}}],"schema":"https://github.com/citation-style-language/schema/raw/master/csl-citation.json"} </w:instrText>
      </w:r>
      <w:r>
        <w:fldChar w:fldCharType="separate"/>
      </w:r>
      <w:r w:rsidRPr="00CF3AE4">
        <w:rPr>
          <w:rFonts w:ascii="Aptos" w:hAnsi="Aptos"/>
        </w:rPr>
        <w:t>(Bloch 2022)</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21"/>
    <w:rsid w:val="000312A3"/>
    <w:rsid w:val="00055FD8"/>
    <w:rsid w:val="000E23ED"/>
    <w:rsid w:val="002D5EF5"/>
    <w:rsid w:val="00533A38"/>
    <w:rsid w:val="00574CF1"/>
    <w:rsid w:val="00587C69"/>
    <w:rsid w:val="005E0504"/>
    <w:rsid w:val="0075090D"/>
    <w:rsid w:val="0085120A"/>
    <w:rsid w:val="008B3EF0"/>
    <w:rsid w:val="00932BA6"/>
    <w:rsid w:val="00944267"/>
    <w:rsid w:val="0099108D"/>
    <w:rsid w:val="00B93C21"/>
    <w:rsid w:val="00CF3AE4"/>
    <w:rsid w:val="00E60DC1"/>
    <w:rsid w:val="00FA6169"/>
    <w:rsid w:val="00FF1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4E79"/>
  <w15:chartTrackingRefBased/>
  <w15:docId w15:val="{6FBB03AB-CE63-442E-96A7-EE54B1902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C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C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C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C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C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C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C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C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C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C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C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C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C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C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C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C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C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C21"/>
    <w:rPr>
      <w:rFonts w:eastAsiaTheme="majorEastAsia" w:cstheme="majorBidi"/>
      <w:color w:val="272727" w:themeColor="text1" w:themeTint="D8"/>
    </w:rPr>
  </w:style>
  <w:style w:type="paragraph" w:styleId="Title">
    <w:name w:val="Title"/>
    <w:basedOn w:val="Normal"/>
    <w:next w:val="Normal"/>
    <w:link w:val="TitleChar"/>
    <w:uiPriority w:val="10"/>
    <w:qFormat/>
    <w:rsid w:val="00B93C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C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C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C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C21"/>
    <w:pPr>
      <w:spacing w:before="160"/>
      <w:jc w:val="center"/>
    </w:pPr>
    <w:rPr>
      <w:i/>
      <w:iCs/>
      <w:color w:val="404040" w:themeColor="text1" w:themeTint="BF"/>
    </w:rPr>
  </w:style>
  <w:style w:type="character" w:customStyle="1" w:styleId="QuoteChar">
    <w:name w:val="Quote Char"/>
    <w:basedOn w:val="DefaultParagraphFont"/>
    <w:link w:val="Quote"/>
    <w:uiPriority w:val="29"/>
    <w:rsid w:val="00B93C21"/>
    <w:rPr>
      <w:i/>
      <w:iCs/>
      <w:color w:val="404040" w:themeColor="text1" w:themeTint="BF"/>
    </w:rPr>
  </w:style>
  <w:style w:type="paragraph" w:styleId="ListParagraph">
    <w:name w:val="List Paragraph"/>
    <w:basedOn w:val="Normal"/>
    <w:uiPriority w:val="34"/>
    <w:qFormat/>
    <w:rsid w:val="00B93C21"/>
    <w:pPr>
      <w:ind w:left="720"/>
      <w:contextualSpacing/>
    </w:pPr>
  </w:style>
  <w:style w:type="character" w:styleId="IntenseEmphasis">
    <w:name w:val="Intense Emphasis"/>
    <w:basedOn w:val="DefaultParagraphFont"/>
    <w:uiPriority w:val="21"/>
    <w:qFormat/>
    <w:rsid w:val="00B93C21"/>
    <w:rPr>
      <w:i/>
      <w:iCs/>
      <w:color w:val="0F4761" w:themeColor="accent1" w:themeShade="BF"/>
    </w:rPr>
  </w:style>
  <w:style w:type="paragraph" w:styleId="IntenseQuote">
    <w:name w:val="Intense Quote"/>
    <w:basedOn w:val="Normal"/>
    <w:next w:val="Normal"/>
    <w:link w:val="IntenseQuoteChar"/>
    <w:uiPriority w:val="30"/>
    <w:qFormat/>
    <w:rsid w:val="00B93C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C21"/>
    <w:rPr>
      <w:i/>
      <w:iCs/>
      <w:color w:val="0F4761" w:themeColor="accent1" w:themeShade="BF"/>
    </w:rPr>
  </w:style>
  <w:style w:type="character" w:styleId="IntenseReference">
    <w:name w:val="Intense Reference"/>
    <w:basedOn w:val="DefaultParagraphFont"/>
    <w:uiPriority w:val="32"/>
    <w:qFormat/>
    <w:rsid w:val="00B93C21"/>
    <w:rPr>
      <w:b/>
      <w:bCs/>
      <w:smallCaps/>
      <w:color w:val="0F4761" w:themeColor="accent1" w:themeShade="BF"/>
      <w:spacing w:val="5"/>
    </w:rPr>
  </w:style>
  <w:style w:type="paragraph" w:styleId="FootnoteText">
    <w:name w:val="footnote text"/>
    <w:basedOn w:val="Normal"/>
    <w:link w:val="FootnoteTextChar"/>
    <w:uiPriority w:val="99"/>
    <w:semiHidden/>
    <w:unhideWhenUsed/>
    <w:rsid w:val="00FA61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6169"/>
    <w:rPr>
      <w:sz w:val="20"/>
      <w:szCs w:val="20"/>
    </w:rPr>
  </w:style>
  <w:style w:type="character" w:styleId="FootnoteReference">
    <w:name w:val="footnote reference"/>
    <w:basedOn w:val="DefaultParagraphFont"/>
    <w:uiPriority w:val="99"/>
    <w:semiHidden/>
    <w:unhideWhenUsed/>
    <w:rsid w:val="00FA6169"/>
    <w:rPr>
      <w:vertAlign w:val="superscript"/>
    </w:rPr>
  </w:style>
  <w:style w:type="paragraph" w:styleId="Bibliography">
    <w:name w:val="Bibliography"/>
    <w:basedOn w:val="Normal"/>
    <w:next w:val="Normal"/>
    <w:uiPriority w:val="37"/>
    <w:unhideWhenUsed/>
    <w:rsid w:val="005E0504"/>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1050</TotalTime>
  <Pages>2</Pages>
  <Words>294</Words>
  <Characters>1665</Characters>
  <Application>Microsoft Office Word</Application>
  <DocSecurity>0</DocSecurity>
  <Lines>21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Yao</dc:creator>
  <cp:keywords/>
  <dc:description/>
  <cp:lastModifiedBy>Julia Yao</cp:lastModifiedBy>
  <cp:revision>8</cp:revision>
  <dcterms:created xsi:type="dcterms:W3CDTF">2024-09-23T12:05:00Z</dcterms:created>
  <dcterms:modified xsi:type="dcterms:W3CDTF">2024-09-24T09:33:00Z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id="7LrHxn0Y"/&gt;&lt;style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