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24F77" w14:textId="77777777" w:rsidR="00570C57" w:rsidRDefault="00570C57" w:rsidP="00035858">
      <w:pPr>
        <w:jc w:val="center"/>
        <w:rPr>
          <w:rFonts w:ascii="Times New Roman" w:hAnsi="Times New Roman" w:cs="Times New Roman"/>
        </w:rPr>
      </w:pPr>
    </w:p>
    <w:p w14:paraId="2616D4A5" w14:textId="77777777" w:rsidR="00570C57" w:rsidRDefault="00570C57" w:rsidP="00035858">
      <w:pPr>
        <w:jc w:val="center"/>
        <w:rPr>
          <w:rFonts w:ascii="Times New Roman" w:hAnsi="Times New Roman" w:cs="Times New Roman"/>
        </w:rPr>
      </w:pPr>
    </w:p>
    <w:p w14:paraId="748D64F4" w14:textId="77777777" w:rsidR="00570C57" w:rsidRDefault="00570C57" w:rsidP="00035858">
      <w:pPr>
        <w:jc w:val="center"/>
        <w:rPr>
          <w:rFonts w:ascii="Times New Roman" w:hAnsi="Times New Roman" w:cs="Times New Roman"/>
        </w:rPr>
      </w:pPr>
    </w:p>
    <w:p w14:paraId="587A4ED2" w14:textId="77777777" w:rsidR="00570C57" w:rsidRDefault="00570C57" w:rsidP="00035858">
      <w:pPr>
        <w:jc w:val="center"/>
        <w:rPr>
          <w:rFonts w:ascii="Times New Roman" w:hAnsi="Times New Roman" w:cs="Times New Roman"/>
        </w:rPr>
      </w:pPr>
    </w:p>
    <w:p w14:paraId="03D80CF5" w14:textId="77777777" w:rsidR="00570C57" w:rsidRDefault="00570C57" w:rsidP="00035858">
      <w:pPr>
        <w:jc w:val="center"/>
        <w:rPr>
          <w:rFonts w:ascii="Times New Roman" w:hAnsi="Times New Roman" w:cs="Times New Roman"/>
        </w:rPr>
      </w:pPr>
    </w:p>
    <w:p w14:paraId="4BA82A37" w14:textId="77777777" w:rsidR="00570C57" w:rsidRDefault="00570C57" w:rsidP="00035858">
      <w:pPr>
        <w:jc w:val="center"/>
        <w:rPr>
          <w:rFonts w:ascii="Times New Roman" w:hAnsi="Times New Roman" w:cs="Times New Roman"/>
        </w:rPr>
      </w:pPr>
    </w:p>
    <w:p w14:paraId="7A753A7D" w14:textId="77777777" w:rsidR="00570C57" w:rsidRDefault="00570C57" w:rsidP="00035858">
      <w:pPr>
        <w:jc w:val="center"/>
        <w:rPr>
          <w:rFonts w:ascii="Times New Roman" w:hAnsi="Times New Roman" w:cs="Times New Roman"/>
        </w:rPr>
      </w:pPr>
    </w:p>
    <w:p w14:paraId="38BBD3CF" w14:textId="0D686EF4" w:rsidR="00035858" w:rsidRDefault="00210101" w:rsidP="00035858">
      <w:pPr>
        <w:jc w:val="center"/>
        <w:rPr>
          <w:rFonts w:ascii="Times New Roman" w:hAnsi="Times New Roman" w:cs="Times New Roman"/>
        </w:rPr>
      </w:pPr>
      <w:r>
        <w:rPr>
          <w:rFonts w:ascii="Times New Roman" w:hAnsi="Times New Roman" w:cs="Times New Roman"/>
        </w:rPr>
        <w:t>Citizens without Nations – Comparative History</w:t>
      </w:r>
    </w:p>
    <w:p w14:paraId="22E255EA" w14:textId="77777777" w:rsidR="00210101" w:rsidRDefault="00035858" w:rsidP="00035858">
      <w:pPr>
        <w:jc w:val="center"/>
        <w:rPr>
          <w:rFonts w:ascii="Times New Roman" w:hAnsi="Times New Roman" w:cs="Times New Roman"/>
        </w:rPr>
      </w:pPr>
      <w:r>
        <w:rPr>
          <w:rFonts w:ascii="Times New Roman" w:hAnsi="Times New Roman" w:cs="Times New Roman"/>
        </w:rPr>
        <w:t>Mid-Term</w:t>
      </w:r>
    </w:p>
    <w:p w14:paraId="7EA4C290" w14:textId="77777777" w:rsidR="00210101" w:rsidRDefault="00210101" w:rsidP="00035858">
      <w:pPr>
        <w:jc w:val="center"/>
        <w:rPr>
          <w:rFonts w:ascii="Times New Roman" w:hAnsi="Times New Roman" w:cs="Times New Roman"/>
        </w:rPr>
      </w:pPr>
    </w:p>
    <w:p w14:paraId="68501A5B" w14:textId="77777777" w:rsidR="00210101" w:rsidRDefault="00210101" w:rsidP="00035858">
      <w:pPr>
        <w:jc w:val="center"/>
        <w:rPr>
          <w:rFonts w:ascii="Times New Roman" w:hAnsi="Times New Roman" w:cs="Times New Roman"/>
        </w:rPr>
      </w:pPr>
    </w:p>
    <w:p w14:paraId="577FA359" w14:textId="77777777" w:rsidR="00210101" w:rsidRDefault="00210101" w:rsidP="00035858">
      <w:pPr>
        <w:jc w:val="center"/>
        <w:rPr>
          <w:rFonts w:ascii="Times New Roman" w:hAnsi="Times New Roman" w:cs="Times New Roman"/>
        </w:rPr>
      </w:pPr>
    </w:p>
    <w:p w14:paraId="63B7A3F9" w14:textId="77777777" w:rsidR="00210101" w:rsidRDefault="00210101" w:rsidP="00035858">
      <w:pPr>
        <w:jc w:val="center"/>
        <w:rPr>
          <w:rFonts w:ascii="Times New Roman" w:hAnsi="Times New Roman" w:cs="Times New Roman"/>
        </w:rPr>
      </w:pPr>
    </w:p>
    <w:p w14:paraId="6AD4099D" w14:textId="77777777" w:rsidR="00210101" w:rsidRDefault="00210101" w:rsidP="00035858">
      <w:pPr>
        <w:jc w:val="center"/>
        <w:rPr>
          <w:rFonts w:ascii="Times New Roman" w:hAnsi="Times New Roman" w:cs="Times New Roman"/>
        </w:rPr>
      </w:pPr>
    </w:p>
    <w:p w14:paraId="04517FAD" w14:textId="77777777" w:rsidR="00210101" w:rsidRDefault="00210101" w:rsidP="00035858">
      <w:pPr>
        <w:jc w:val="center"/>
        <w:rPr>
          <w:rFonts w:ascii="Times New Roman" w:hAnsi="Times New Roman" w:cs="Times New Roman"/>
        </w:rPr>
      </w:pPr>
    </w:p>
    <w:p w14:paraId="1A421664" w14:textId="77777777" w:rsidR="00210101" w:rsidRDefault="00210101" w:rsidP="00035858">
      <w:pPr>
        <w:jc w:val="center"/>
        <w:rPr>
          <w:rFonts w:ascii="Times New Roman" w:hAnsi="Times New Roman" w:cs="Times New Roman"/>
        </w:rPr>
      </w:pPr>
    </w:p>
    <w:p w14:paraId="63248032" w14:textId="77777777" w:rsidR="00210101" w:rsidRDefault="00210101" w:rsidP="00035858">
      <w:pPr>
        <w:jc w:val="center"/>
        <w:rPr>
          <w:rFonts w:ascii="Times New Roman" w:hAnsi="Times New Roman" w:cs="Times New Roman"/>
        </w:rPr>
      </w:pPr>
    </w:p>
    <w:p w14:paraId="4224DEF7" w14:textId="77777777" w:rsidR="00210101" w:rsidRDefault="00210101" w:rsidP="00035858">
      <w:pPr>
        <w:jc w:val="center"/>
        <w:rPr>
          <w:rFonts w:ascii="Times New Roman" w:hAnsi="Times New Roman" w:cs="Times New Roman"/>
        </w:rPr>
      </w:pPr>
    </w:p>
    <w:p w14:paraId="06C42056" w14:textId="77777777" w:rsidR="00210101" w:rsidRDefault="00210101" w:rsidP="00210101">
      <w:pPr>
        <w:jc w:val="right"/>
        <w:rPr>
          <w:rFonts w:ascii="Times New Roman" w:hAnsi="Times New Roman" w:cs="Times New Roman"/>
        </w:rPr>
      </w:pPr>
    </w:p>
    <w:p w14:paraId="3A694D1F" w14:textId="77777777" w:rsidR="00210101" w:rsidRDefault="00210101" w:rsidP="00210101">
      <w:pPr>
        <w:jc w:val="right"/>
        <w:rPr>
          <w:rFonts w:ascii="Times New Roman" w:hAnsi="Times New Roman" w:cs="Times New Roman"/>
        </w:rPr>
      </w:pPr>
    </w:p>
    <w:p w14:paraId="15A15C92" w14:textId="77777777" w:rsidR="00210101" w:rsidRDefault="00210101" w:rsidP="00210101">
      <w:pPr>
        <w:jc w:val="right"/>
        <w:rPr>
          <w:rFonts w:ascii="Times New Roman" w:hAnsi="Times New Roman" w:cs="Times New Roman"/>
        </w:rPr>
      </w:pPr>
    </w:p>
    <w:p w14:paraId="5A370EC3" w14:textId="77777777" w:rsidR="00210101" w:rsidRDefault="00210101" w:rsidP="00210101">
      <w:pPr>
        <w:jc w:val="right"/>
        <w:rPr>
          <w:rFonts w:ascii="Times New Roman" w:hAnsi="Times New Roman" w:cs="Times New Roman"/>
        </w:rPr>
      </w:pPr>
    </w:p>
    <w:p w14:paraId="2477AF36" w14:textId="77777777" w:rsidR="00210101" w:rsidRDefault="00210101" w:rsidP="00210101">
      <w:pPr>
        <w:jc w:val="right"/>
        <w:rPr>
          <w:rFonts w:ascii="Times New Roman" w:hAnsi="Times New Roman" w:cs="Times New Roman"/>
        </w:rPr>
      </w:pPr>
    </w:p>
    <w:p w14:paraId="2DDCB50A" w14:textId="56CCA395" w:rsidR="00210101" w:rsidRDefault="00210101" w:rsidP="003821EB">
      <w:pPr>
        <w:jc w:val="right"/>
        <w:rPr>
          <w:rFonts w:ascii="Times New Roman" w:hAnsi="Times New Roman" w:cs="Times New Roman"/>
        </w:rPr>
      </w:pPr>
      <w:r>
        <w:rPr>
          <w:rFonts w:ascii="Times New Roman" w:hAnsi="Times New Roman" w:cs="Times New Roman"/>
        </w:rPr>
        <w:t>Julia Yao Roig (s2764709)</w:t>
      </w:r>
    </w:p>
    <w:p w14:paraId="09504422" w14:textId="77777777" w:rsidR="003821EB" w:rsidRDefault="00210101" w:rsidP="003821EB">
      <w:pPr>
        <w:jc w:val="right"/>
        <w:rPr>
          <w:rFonts w:ascii="Times New Roman" w:hAnsi="Times New Roman" w:cs="Times New Roman"/>
        </w:rPr>
      </w:pPr>
      <w:r>
        <w:rPr>
          <w:rFonts w:ascii="Times New Roman" w:hAnsi="Times New Roman" w:cs="Times New Roman"/>
        </w:rPr>
        <w:t>Date: 30/09/2024</w:t>
      </w:r>
    </w:p>
    <w:p w14:paraId="76F5F192" w14:textId="1F85D797" w:rsidR="003821EB" w:rsidRDefault="003821EB" w:rsidP="003821EB">
      <w:pPr>
        <w:jc w:val="right"/>
        <w:rPr>
          <w:rFonts w:ascii="Times New Roman" w:hAnsi="Times New Roman" w:cs="Times New Roman"/>
        </w:rPr>
      </w:pPr>
      <w:r>
        <w:rPr>
          <w:rFonts w:ascii="Times New Roman" w:hAnsi="Times New Roman" w:cs="Times New Roman"/>
        </w:rPr>
        <w:t>Word Count: 800</w:t>
      </w:r>
    </w:p>
    <w:p w14:paraId="4A4432ED" w14:textId="504A8BCB" w:rsidR="00035858" w:rsidRDefault="003821EB" w:rsidP="003821EB">
      <w:pPr>
        <w:jc w:val="right"/>
        <w:rPr>
          <w:rFonts w:ascii="Times New Roman" w:hAnsi="Times New Roman" w:cs="Times New Roman"/>
        </w:rPr>
      </w:pPr>
      <w:r>
        <w:rPr>
          <w:rFonts w:ascii="Times New Roman" w:hAnsi="Times New Roman" w:cs="Times New Roman"/>
        </w:rPr>
        <w:t>Course: Comparing and Connecting (</w:t>
      </w:r>
      <w:r w:rsidRPr="003821EB">
        <w:rPr>
          <w:rFonts w:ascii="Times New Roman" w:hAnsi="Times New Roman" w:cs="Times New Roman"/>
        </w:rPr>
        <w:t>5774LME05W</w:t>
      </w:r>
      <w:r>
        <w:rPr>
          <w:rFonts w:ascii="Times New Roman" w:hAnsi="Times New Roman" w:cs="Times New Roman"/>
        </w:rPr>
        <w:t>)</w:t>
      </w:r>
      <w:r w:rsidR="00035858">
        <w:rPr>
          <w:rFonts w:ascii="Times New Roman" w:hAnsi="Times New Roman" w:cs="Times New Roman"/>
        </w:rPr>
        <w:br w:type="page"/>
      </w:r>
    </w:p>
    <w:p w14:paraId="7739D5BB" w14:textId="77777777" w:rsidR="00035858" w:rsidRDefault="00035858">
      <w:pPr>
        <w:rPr>
          <w:rFonts w:ascii="Times New Roman" w:hAnsi="Times New Roman" w:cs="Times New Roman"/>
        </w:rPr>
      </w:pPr>
    </w:p>
    <w:p w14:paraId="1379F7D8" w14:textId="39375596" w:rsidR="0023634B" w:rsidRPr="00FE581E" w:rsidRDefault="00B44C87" w:rsidP="00035858">
      <w:pPr>
        <w:spacing w:line="360" w:lineRule="auto"/>
        <w:ind w:firstLine="720"/>
        <w:rPr>
          <w:rFonts w:ascii="Times New Roman" w:hAnsi="Times New Roman" w:cs="Times New Roman"/>
        </w:rPr>
      </w:pPr>
      <w:r w:rsidRPr="00FE581E">
        <w:rPr>
          <w:rFonts w:ascii="Times New Roman" w:hAnsi="Times New Roman" w:cs="Times New Roman"/>
        </w:rPr>
        <w:t xml:space="preserve">The book </w:t>
      </w:r>
      <w:r w:rsidR="00455BA8" w:rsidRPr="00FE581E">
        <w:rPr>
          <w:rFonts w:ascii="Times New Roman" w:hAnsi="Times New Roman" w:cs="Times New Roman"/>
          <w:i/>
          <w:iCs/>
        </w:rPr>
        <w:t>Citizens without Nations</w:t>
      </w:r>
      <w:r w:rsidR="00455BA8" w:rsidRPr="00FE581E">
        <w:rPr>
          <w:rFonts w:ascii="Times New Roman" w:hAnsi="Times New Roman" w:cs="Times New Roman"/>
        </w:rPr>
        <w:t xml:space="preserve"> </w:t>
      </w:r>
      <w:r w:rsidRPr="00FE581E">
        <w:rPr>
          <w:rFonts w:ascii="Times New Roman" w:hAnsi="Times New Roman" w:cs="Times New Roman"/>
        </w:rPr>
        <w:t>by Marteen Prak presents</w:t>
      </w:r>
      <w:r w:rsidR="00455BA8" w:rsidRPr="00FE581E">
        <w:rPr>
          <w:rFonts w:ascii="Times New Roman" w:hAnsi="Times New Roman" w:cs="Times New Roman"/>
        </w:rPr>
        <w:t xml:space="preserve"> the central thesis that public life was present in the </w:t>
      </w:r>
      <w:r w:rsidR="00AC4B84" w:rsidRPr="00FE581E">
        <w:rPr>
          <w:rFonts w:ascii="Times New Roman" w:hAnsi="Times New Roman" w:cs="Times New Roman"/>
        </w:rPr>
        <w:t>Middle Ages</w:t>
      </w:r>
      <w:r w:rsidR="00455BA8" w:rsidRPr="00FE581E">
        <w:rPr>
          <w:rFonts w:ascii="Times New Roman" w:hAnsi="Times New Roman" w:cs="Times New Roman"/>
        </w:rPr>
        <w:t xml:space="preserve"> through citizen interaction with structures of power, mainly through guilds. Prak adopts the comparative method for his work</w:t>
      </w:r>
      <w:r w:rsidRPr="00FE581E">
        <w:rPr>
          <w:rFonts w:ascii="Times New Roman" w:hAnsi="Times New Roman" w:cs="Times New Roman"/>
        </w:rPr>
        <w:t>. T</w:t>
      </w:r>
      <w:r w:rsidR="00455BA8" w:rsidRPr="00FE581E">
        <w:rPr>
          <w:rFonts w:ascii="Times New Roman" w:hAnsi="Times New Roman" w:cs="Times New Roman"/>
        </w:rPr>
        <w:t>he first and second section</w:t>
      </w:r>
      <w:r w:rsidRPr="00FE581E">
        <w:rPr>
          <w:rFonts w:ascii="Times New Roman" w:hAnsi="Times New Roman" w:cs="Times New Roman"/>
        </w:rPr>
        <w:t>s</w:t>
      </w:r>
      <w:r w:rsidR="00455BA8" w:rsidRPr="00FE581E">
        <w:rPr>
          <w:rFonts w:ascii="Times New Roman" w:hAnsi="Times New Roman" w:cs="Times New Roman"/>
        </w:rPr>
        <w:t xml:space="preserve"> deal with Europe, looking at specific countries </w:t>
      </w:r>
      <w:r w:rsidRPr="00FE581E">
        <w:rPr>
          <w:rFonts w:ascii="Times New Roman" w:hAnsi="Times New Roman" w:cs="Times New Roman"/>
        </w:rPr>
        <w:t>while</w:t>
      </w:r>
      <w:r w:rsidR="00455BA8" w:rsidRPr="00FE581E">
        <w:rPr>
          <w:rFonts w:ascii="Times New Roman" w:hAnsi="Times New Roman" w:cs="Times New Roman"/>
        </w:rPr>
        <w:t xml:space="preserve"> the third section discusses Asia.</w:t>
      </w:r>
      <w:r w:rsidR="00455BA8" w:rsidRPr="00277EA7">
        <w:rPr>
          <w:rStyle w:val="FootnoteReference"/>
        </w:rPr>
        <w:footnoteReference w:id="1"/>
      </w:r>
      <w:r w:rsidR="00455BA8" w:rsidRPr="00FE581E">
        <w:rPr>
          <w:rFonts w:ascii="Times New Roman" w:hAnsi="Times New Roman" w:cs="Times New Roman"/>
        </w:rPr>
        <w:t xml:space="preserve"> The </w:t>
      </w:r>
      <w:r w:rsidR="00FE581E" w:rsidRPr="00FE581E">
        <w:rPr>
          <w:rFonts w:ascii="Times New Roman" w:hAnsi="Times New Roman" w:cs="Times New Roman"/>
        </w:rPr>
        <w:t>comparison,</w:t>
      </w:r>
      <w:r w:rsidR="00455BA8" w:rsidRPr="00FE581E">
        <w:rPr>
          <w:rFonts w:ascii="Times New Roman" w:hAnsi="Times New Roman" w:cs="Times New Roman"/>
        </w:rPr>
        <w:t xml:space="preserve"> however, does a disservice to the territories he analyses. </w:t>
      </w:r>
      <w:r w:rsidR="0059227B" w:rsidRPr="00FE581E">
        <w:rPr>
          <w:rFonts w:ascii="Times New Roman" w:hAnsi="Times New Roman" w:cs="Times New Roman"/>
        </w:rPr>
        <w:t>H</w:t>
      </w:r>
      <w:r w:rsidR="00AC4B84" w:rsidRPr="00FE581E">
        <w:rPr>
          <w:rFonts w:ascii="Times New Roman" w:hAnsi="Times New Roman" w:cs="Times New Roman"/>
        </w:rPr>
        <w:t>e</w:t>
      </w:r>
      <w:r w:rsidR="00455BA8" w:rsidRPr="00FE581E">
        <w:rPr>
          <w:rFonts w:ascii="Times New Roman" w:hAnsi="Times New Roman" w:cs="Times New Roman"/>
        </w:rPr>
        <w:t xml:space="preserve"> devotes two thirds of the book, about 200 </w:t>
      </w:r>
      <w:r w:rsidR="0059227B" w:rsidRPr="00FE581E">
        <w:rPr>
          <w:rFonts w:ascii="Times New Roman" w:hAnsi="Times New Roman" w:cs="Times New Roman"/>
        </w:rPr>
        <w:t>pages</w:t>
      </w:r>
      <w:r w:rsidR="00455BA8" w:rsidRPr="00FE581E">
        <w:rPr>
          <w:rFonts w:ascii="Times New Roman" w:hAnsi="Times New Roman" w:cs="Times New Roman"/>
        </w:rPr>
        <w:t>, to discussing Europe</w:t>
      </w:r>
      <w:r w:rsidR="0059227B" w:rsidRPr="00FE581E">
        <w:rPr>
          <w:rFonts w:ascii="Times New Roman" w:hAnsi="Times New Roman" w:cs="Times New Roman"/>
        </w:rPr>
        <w:t xml:space="preserve">. </w:t>
      </w:r>
      <w:r w:rsidR="0083011B" w:rsidRPr="00FE581E">
        <w:rPr>
          <w:rFonts w:ascii="Times New Roman" w:hAnsi="Times New Roman" w:cs="Times New Roman"/>
        </w:rPr>
        <w:t xml:space="preserve">Prak dedicates </w:t>
      </w:r>
      <w:r w:rsidRPr="00FE581E">
        <w:rPr>
          <w:rFonts w:ascii="Times New Roman" w:hAnsi="Times New Roman" w:cs="Times New Roman"/>
        </w:rPr>
        <w:t>the t</w:t>
      </w:r>
      <w:r w:rsidR="0083011B" w:rsidRPr="00FE581E">
        <w:rPr>
          <w:rFonts w:ascii="Times New Roman" w:hAnsi="Times New Roman" w:cs="Times New Roman"/>
        </w:rPr>
        <w:t>ime to trace guilds in Europe through time and discuss cases throughout Europe</w:t>
      </w:r>
      <w:r w:rsidR="00C40E36" w:rsidRPr="00FE581E">
        <w:rPr>
          <w:rFonts w:ascii="Times New Roman" w:hAnsi="Times New Roman" w:cs="Times New Roman"/>
        </w:rPr>
        <w:t>an cities</w:t>
      </w:r>
      <w:r w:rsidR="0083011B" w:rsidRPr="00FE581E">
        <w:rPr>
          <w:rFonts w:ascii="Times New Roman" w:hAnsi="Times New Roman" w:cs="Times New Roman"/>
        </w:rPr>
        <w:t xml:space="preserve">. However, </w:t>
      </w:r>
      <w:r w:rsidR="0059227B" w:rsidRPr="00FE581E">
        <w:rPr>
          <w:rFonts w:ascii="Times New Roman" w:hAnsi="Times New Roman" w:cs="Times New Roman"/>
        </w:rPr>
        <w:t xml:space="preserve">for </w:t>
      </w:r>
      <w:r w:rsidR="0083011B" w:rsidRPr="00FE581E">
        <w:rPr>
          <w:rFonts w:ascii="Times New Roman" w:hAnsi="Times New Roman" w:cs="Times New Roman"/>
        </w:rPr>
        <w:t>Asia,</w:t>
      </w:r>
      <w:r w:rsidR="0059227B" w:rsidRPr="00FE581E">
        <w:rPr>
          <w:rFonts w:ascii="Times New Roman" w:hAnsi="Times New Roman" w:cs="Times New Roman"/>
        </w:rPr>
        <w:t xml:space="preserve"> he discusses it in </w:t>
      </w:r>
      <w:r w:rsidR="00455BA8" w:rsidRPr="00FE581E">
        <w:rPr>
          <w:rFonts w:ascii="Times New Roman" w:hAnsi="Times New Roman" w:cs="Times New Roman"/>
        </w:rPr>
        <w:t xml:space="preserve">only 23 pages. </w:t>
      </w:r>
      <w:r w:rsidR="0083011B" w:rsidRPr="00FE581E">
        <w:rPr>
          <w:rFonts w:ascii="Times New Roman" w:hAnsi="Times New Roman" w:cs="Times New Roman"/>
        </w:rPr>
        <w:t xml:space="preserve">In addition, the comparison is framed through </w:t>
      </w:r>
      <w:r w:rsidRPr="00FE581E">
        <w:rPr>
          <w:rFonts w:ascii="Times New Roman" w:hAnsi="Times New Roman" w:cs="Times New Roman"/>
        </w:rPr>
        <w:t xml:space="preserve">the </w:t>
      </w:r>
      <w:r w:rsidR="0083011B" w:rsidRPr="00FE581E">
        <w:rPr>
          <w:rFonts w:ascii="Times New Roman" w:hAnsi="Times New Roman" w:cs="Times New Roman"/>
        </w:rPr>
        <w:t xml:space="preserve">Western </w:t>
      </w:r>
      <w:r w:rsidRPr="00FE581E">
        <w:rPr>
          <w:rFonts w:ascii="Times New Roman" w:hAnsi="Times New Roman" w:cs="Times New Roman"/>
        </w:rPr>
        <w:t>perspective</w:t>
      </w:r>
      <w:r w:rsidR="0083011B" w:rsidRPr="00FE581E">
        <w:rPr>
          <w:rFonts w:ascii="Times New Roman" w:hAnsi="Times New Roman" w:cs="Times New Roman"/>
        </w:rPr>
        <w:t xml:space="preserve">. </w:t>
      </w:r>
      <w:r w:rsidR="00A65FCD" w:rsidRPr="00FE581E">
        <w:rPr>
          <w:rFonts w:ascii="Times New Roman" w:hAnsi="Times New Roman" w:cs="Times New Roman"/>
        </w:rPr>
        <w:t xml:space="preserve">One needs </w:t>
      </w:r>
      <w:r w:rsidRPr="00FE581E">
        <w:rPr>
          <w:rFonts w:ascii="Times New Roman" w:hAnsi="Times New Roman" w:cs="Times New Roman"/>
        </w:rPr>
        <w:t xml:space="preserve">to </w:t>
      </w:r>
      <w:r w:rsidR="00A65FCD" w:rsidRPr="00FE581E">
        <w:rPr>
          <w:rFonts w:ascii="Times New Roman" w:hAnsi="Times New Roman" w:cs="Times New Roman"/>
        </w:rPr>
        <w:t>only look at the sub headers of the China section to notice that Prak does not explore institutions on their own</w:t>
      </w:r>
      <w:r w:rsidR="00C40E36" w:rsidRPr="00FE581E">
        <w:rPr>
          <w:rFonts w:ascii="Times New Roman" w:hAnsi="Times New Roman" w:cs="Times New Roman"/>
        </w:rPr>
        <w:t xml:space="preserve">, </w:t>
      </w:r>
      <w:r w:rsidRPr="00FE581E">
        <w:rPr>
          <w:rFonts w:ascii="Times New Roman" w:hAnsi="Times New Roman" w:cs="Times New Roman"/>
        </w:rPr>
        <w:t>fitting</w:t>
      </w:r>
      <w:r w:rsidR="00C40E36" w:rsidRPr="00FE581E">
        <w:rPr>
          <w:rFonts w:ascii="Times New Roman" w:hAnsi="Times New Roman" w:cs="Times New Roman"/>
        </w:rPr>
        <w:t xml:space="preserve"> them into western conceptions</w:t>
      </w:r>
      <w:r w:rsidR="00A65FCD" w:rsidRPr="00FE581E">
        <w:rPr>
          <w:rFonts w:ascii="Times New Roman" w:hAnsi="Times New Roman" w:cs="Times New Roman"/>
        </w:rPr>
        <w:t xml:space="preserve">. </w:t>
      </w:r>
      <w:r w:rsidR="0083011B" w:rsidRPr="00FE581E">
        <w:rPr>
          <w:rFonts w:ascii="Times New Roman" w:hAnsi="Times New Roman" w:cs="Times New Roman"/>
        </w:rPr>
        <w:t>Various issues stem from this perspectiv</w:t>
      </w:r>
      <w:r w:rsidRPr="00FE581E">
        <w:rPr>
          <w:rFonts w:ascii="Times New Roman" w:hAnsi="Times New Roman" w:cs="Times New Roman"/>
        </w:rPr>
        <w:t>e, among them the fact</w:t>
      </w:r>
      <w:r w:rsidR="0083011B" w:rsidRPr="00FE581E">
        <w:rPr>
          <w:rFonts w:ascii="Times New Roman" w:hAnsi="Times New Roman" w:cs="Times New Roman"/>
        </w:rPr>
        <w:t xml:space="preserve"> China is a huge swath of territory and therefore subject to variation. While Prak acknowledges this pitfall of his research</w:t>
      </w:r>
      <w:r w:rsidRPr="00FE581E">
        <w:rPr>
          <w:rFonts w:ascii="Times New Roman" w:hAnsi="Times New Roman" w:cs="Times New Roman"/>
        </w:rPr>
        <w:t>,</w:t>
      </w:r>
      <w:r w:rsidR="0083011B" w:rsidRPr="00FE581E">
        <w:rPr>
          <w:rFonts w:ascii="Times New Roman" w:hAnsi="Times New Roman" w:cs="Times New Roman"/>
        </w:rPr>
        <w:t xml:space="preserve"> there is no attempt to compensate for it.</w:t>
      </w:r>
      <w:r w:rsidR="0083011B" w:rsidRPr="00277EA7">
        <w:rPr>
          <w:rStyle w:val="FootnoteReference"/>
        </w:rPr>
        <w:footnoteReference w:id="2"/>
      </w:r>
      <w:r w:rsidR="0083011B" w:rsidRPr="00FE581E">
        <w:rPr>
          <w:rFonts w:ascii="Times New Roman" w:hAnsi="Times New Roman" w:cs="Times New Roman"/>
        </w:rPr>
        <w:t xml:space="preserve"> </w:t>
      </w:r>
      <w:r w:rsidR="002C0BB8" w:rsidRPr="00FE581E">
        <w:rPr>
          <w:rFonts w:ascii="Times New Roman" w:hAnsi="Times New Roman" w:cs="Times New Roman"/>
        </w:rPr>
        <w:t>A clear example</w:t>
      </w:r>
      <w:r w:rsidRPr="00FE581E">
        <w:rPr>
          <w:rFonts w:ascii="Times New Roman" w:hAnsi="Times New Roman" w:cs="Times New Roman"/>
        </w:rPr>
        <w:t xml:space="preserve"> of this</w:t>
      </w:r>
      <w:r w:rsidR="002C0BB8" w:rsidRPr="00FE581E">
        <w:rPr>
          <w:rFonts w:ascii="Times New Roman" w:hAnsi="Times New Roman" w:cs="Times New Roman"/>
        </w:rPr>
        <w:t xml:space="preserve"> is the comparison with guilds.</w:t>
      </w:r>
      <w:r w:rsidRPr="00FE581E">
        <w:rPr>
          <w:rFonts w:ascii="Times New Roman" w:hAnsi="Times New Roman" w:cs="Times New Roman"/>
        </w:rPr>
        <w:t xml:space="preserve"> T</w:t>
      </w:r>
      <w:r w:rsidR="002C0BB8" w:rsidRPr="00FE581E">
        <w:rPr>
          <w:rFonts w:ascii="Times New Roman" w:hAnsi="Times New Roman" w:cs="Times New Roman"/>
        </w:rPr>
        <w:t>he use of the term guilds is western and was only introduced in the nineteenth century by foreign authors.</w:t>
      </w:r>
      <w:r w:rsidR="002C0BB8" w:rsidRPr="00277EA7">
        <w:rPr>
          <w:rStyle w:val="FootnoteReference"/>
        </w:rPr>
        <w:footnoteReference w:id="3"/>
      </w:r>
      <w:r w:rsidR="002C0BB8" w:rsidRPr="00FE581E">
        <w:rPr>
          <w:rFonts w:ascii="Times New Roman" w:hAnsi="Times New Roman" w:cs="Times New Roman"/>
        </w:rPr>
        <w:t xml:space="preserve"> Even its Chinese equivalent </w:t>
      </w:r>
      <w:proofErr w:type="spellStart"/>
      <w:r w:rsidR="002C0BB8" w:rsidRPr="00FE581E">
        <w:rPr>
          <w:rFonts w:ascii="Times New Roman" w:hAnsi="Times New Roman" w:cs="Times New Roman"/>
          <w:i/>
          <w:iCs/>
        </w:rPr>
        <w:t>hanghui</w:t>
      </w:r>
      <w:proofErr w:type="spellEnd"/>
      <w:r w:rsidR="002C0BB8" w:rsidRPr="00FE581E">
        <w:rPr>
          <w:rFonts w:ascii="Times New Roman" w:hAnsi="Times New Roman" w:cs="Times New Roman"/>
        </w:rPr>
        <w:t xml:space="preserve"> obfuscates matters.</w:t>
      </w:r>
      <w:r w:rsidR="002C0BB8" w:rsidRPr="00277EA7">
        <w:rPr>
          <w:rStyle w:val="FootnoteReference"/>
        </w:rPr>
        <w:footnoteReference w:id="4"/>
      </w:r>
      <w:r w:rsidR="0063365C" w:rsidRPr="00FE581E">
        <w:rPr>
          <w:rFonts w:ascii="Times New Roman" w:hAnsi="Times New Roman" w:cs="Times New Roman"/>
        </w:rPr>
        <w:t xml:space="preserve"> </w:t>
      </w:r>
      <w:r w:rsidR="00BE0E1B" w:rsidRPr="00FE581E">
        <w:rPr>
          <w:rFonts w:ascii="Times New Roman" w:hAnsi="Times New Roman" w:cs="Times New Roman"/>
        </w:rPr>
        <w:t xml:space="preserve">Adding to this terminological issue, </w:t>
      </w:r>
      <w:r w:rsidR="0063365C" w:rsidRPr="00FE581E">
        <w:rPr>
          <w:rFonts w:ascii="Times New Roman" w:hAnsi="Times New Roman" w:cs="Times New Roman"/>
        </w:rPr>
        <w:t>Prak discusses guilds in both towns and cities in his European section</w:t>
      </w:r>
      <w:r w:rsidR="00DE1629" w:rsidRPr="00FE581E">
        <w:rPr>
          <w:rFonts w:ascii="Times New Roman" w:hAnsi="Times New Roman" w:cs="Times New Roman"/>
        </w:rPr>
        <w:t>. Ho</w:t>
      </w:r>
      <w:r w:rsidR="0063365C" w:rsidRPr="00FE581E">
        <w:rPr>
          <w:rFonts w:ascii="Times New Roman" w:hAnsi="Times New Roman" w:cs="Times New Roman"/>
        </w:rPr>
        <w:t>wever, for China he</w:t>
      </w:r>
      <w:r w:rsidR="00BE0E1B" w:rsidRPr="00FE581E">
        <w:rPr>
          <w:rFonts w:ascii="Times New Roman" w:hAnsi="Times New Roman" w:cs="Times New Roman"/>
        </w:rPr>
        <w:t xml:space="preserve"> makes no distinction between rural and </w:t>
      </w:r>
      <w:r w:rsidR="00A65FCD" w:rsidRPr="00FE581E">
        <w:rPr>
          <w:rFonts w:ascii="Times New Roman" w:hAnsi="Times New Roman" w:cs="Times New Roman"/>
        </w:rPr>
        <w:t xml:space="preserve">urban </w:t>
      </w:r>
      <w:r w:rsidR="00BE0E1B" w:rsidRPr="00FE581E">
        <w:rPr>
          <w:rFonts w:ascii="Times New Roman" w:hAnsi="Times New Roman" w:cs="Times New Roman"/>
        </w:rPr>
        <w:t xml:space="preserve">areas, presuming </w:t>
      </w:r>
      <w:r w:rsidR="0063365C" w:rsidRPr="00FE581E">
        <w:rPr>
          <w:rFonts w:ascii="Times New Roman" w:hAnsi="Times New Roman" w:cs="Times New Roman"/>
        </w:rPr>
        <w:t>uniformity in their functions.</w:t>
      </w:r>
      <w:r w:rsidR="00B259B4" w:rsidRPr="00FE581E">
        <w:rPr>
          <w:rFonts w:ascii="Times New Roman" w:hAnsi="Times New Roman" w:cs="Times New Roman"/>
        </w:rPr>
        <w:t xml:space="preserve"> Contrary to this notion</w:t>
      </w:r>
      <w:r w:rsidR="00BE0E1B" w:rsidRPr="00FE581E">
        <w:rPr>
          <w:rFonts w:ascii="Times New Roman" w:hAnsi="Times New Roman" w:cs="Times New Roman"/>
        </w:rPr>
        <w:t xml:space="preserve">, </w:t>
      </w:r>
      <w:proofErr w:type="spellStart"/>
      <w:r w:rsidR="00BE0E1B" w:rsidRPr="00FE581E">
        <w:rPr>
          <w:rFonts w:ascii="Times New Roman" w:hAnsi="Times New Roman" w:cs="Times New Roman"/>
          <w:i/>
          <w:iCs/>
        </w:rPr>
        <w:t>h</w:t>
      </w:r>
      <w:r w:rsidR="0063365C" w:rsidRPr="00FE581E">
        <w:rPr>
          <w:rFonts w:ascii="Times New Roman" w:hAnsi="Times New Roman" w:cs="Times New Roman"/>
          <w:i/>
          <w:iCs/>
        </w:rPr>
        <w:t>anghui</w:t>
      </w:r>
      <w:proofErr w:type="spellEnd"/>
      <w:r w:rsidR="0063365C" w:rsidRPr="00FE581E">
        <w:rPr>
          <w:rFonts w:ascii="Times New Roman" w:hAnsi="Times New Roman" w:cs="Times New Roman"/>
          <w:i/>
          <w:iCs/>
        </w:rPr>
        <w:t xml:space="preserve"> </w:t>
      </w:r>
      <w:r w:rsidR="0063365C" w:rsidRPr="00FE581E">
        <w:rPr>
          <w:rFonts w:ascii="Times New Roman" w:hAnsi="Times New Roman" w:cs="Times New Roman"/>
        </w:rPr>
        <w:t xml:space="preserve">varied depending on location. The </w:t>
      </w:r>
      <w:proofErr w:type="spellStart"/>
      <w:r w:rsidR="0063365C" w:rsidRPr="00FE581E">
        <w:rPr>
          <w:rFonts w:ascii="Times New Roman" w:hAnsi="Times New Roman" w:cs="Times New Roman"/>
          <w:i/>
          <w:iCs/>
        </w:rPr>
        <w:t>hanghui</w:t>
      </w:r>
      <w:proofErr w:type="spellEnd"/>
      <w:r w:rsidR="0063365C" w:rsidRPr="00FE581E">
        <w:rPr>
          <w:rFonts w:ascii="Times New Roman" w:hAnsi="Times New Roman" w:cs="Times New Roman"/>
          <w:i/>
          <w:iCs/>
        </w:rPr>
        <w:t xml:space="preserve"> </w:t>
      </w:r>
      <w:r w:rsidR="0063365C" w:rsidRPr="00FE581E">
        <w:rPr>
          <w:rFonts w:ascii="Times New Roman" w:hAnsi="Times New Roman" w:cs="Times New Roman"/>
        </w:rPr>
        <w:t xml:space="preserve">in Beijing </w:t>
      </w:r>
      <w:r w:rsidR="00DE1629" w:rsidRPr="00FE581E">
        <w:rPr>
          <w:rFonts w:ascii="Times New Roman" w:hAnsi="Times New Roman" w:cs="Times New Roman"/>
        </w:rPr>
        <w:t xml:space="preserve">acted as hostels and coordination centers </w:t>
      </w:r>
      <w:r w:rsidR="00A65FCD" w:rsidRPr="00FE581E">
        <w:rPr>
          <w:rFonts w:ascii="Times New Roman" w:hAnsi="Times New Roman" w:cs="Times New Roman"/>
        </w:rPr>
        <w:t xml:space="preserve">for those </w:t>
      </w:r>
      <w:r w:rsidR="00DE1629" w:rsidRPr="00FE581E">
        <w:rPr>
          <w:rFonts w:ascii="Times New Roman" w:hAnsi="Times New Roman" w:cs="Times New Roman"/>
        </w:rPr>
        <w:t>who stayed in Beijing while in Sichuan they dealt with immigration from other provinces.</w:t>
      </w:r>
      <w:r w:rsidR="00DE1629" w:rsidRPr="00277EA7">
        <w:rPr>
          <w:rStyle w:val="FootnoteReference"/>
        </w:rPr>
        <w:footnoteReference w:id="5"/>
      </w:r>
      <w:r w:rsidR="00BE0E1B" w:rsidRPr="00FE581E">
        <w:rPr>
          <w:rFonts w:ascii="Times New Roman" w:hAnsi="Times New Roman" w:cs="Times New Roman"/>
        </w:rPr>
        <w:t xml:space="preserve"> This distinction </w:t>
      </w:r>
      <w:r w:rsidR="00A65FCD" w:rsidRPr="00FE581E">
        <w:rPr>
          <w:rFonts w:ascii="Times New Roman" w:hAnsi="Times New Roman" w:cs="Times New Roman"/>
        </w:rPr>
        <w:t xml:space="preserve">between urban and rural is particularly </w:t>
      </w:r>
      <w:r w:rsidR="00BE0E1B" w:rsidRPr="00FE581E">
        <w:rPr>
          <w:rFonts w:ascii="Times New Roman" w:hAnsi="Times New Roman" w:cs="Times New Roman"/>
        </w:rPr>
        <w:t xml:space="preserve">important </w:t>
      </w:r>
      <w:r w:rsidR="00A65FCD" w:rsidRPr="00FE581E">
        <w:rPr>
          <w:rFonts w:ascii="Times New Roman" w:hAnsi="Times New Roman" w:cs="Times New Roman"/>
        </w:rPr>
        <w:t xml:space="preserve">in China’s case </w:t>
      </w:r>
      <w:r w:rsidR="00BE0E1B" w:rsidRPr="00FE581E">
        <w:rPr>
          <w:rFonts w:ascii="Times New Roman" w:hAnsi="Times New Roman" w:cs="Times New Roman"/>
        </w:rPr>
        <w:t xml:space="preserve">since </w:t>
      </w:r>
      <w:r w:rsidR="00B259B4" w:rsidRPr="00FE581E">
        <w:rPr>
          <w:rFonts w:ascii="Times New Roman" w:hAnsi="Times New Roman" w:cs="Times New Roman"/>
        </w:rPr>
        <w:t>the country</w:t>
      </w:r>
      <w:r w:rsidR="00BE0E1B" w:rsidRPr="00FE581E">
        <w:rPr>
          <w:rFonts w:ascii="Times New Roman" w:hAnsi="Times New Roman" w:cs="Times New Roman"/>
        </w:rPr>
        <w:t xml:space="preserve"> took a long time to urbanize.</w:t>
      </w:r>
      <w:r w:rsidR="00BE0E1B" w:rsidRPr="00277EA7">
        <w:rPr>
          <w:rStyle w:val="FootnoteReference"/>
        </w:rPr>
        <w:footnoteReference w:id="6"/>
      </w:r>
      <w:r w:rsidR="00BE0E1B" w:rsidRPr="00FE581E">
        <w:rPr>
          <w:rFonts w:ascii="Times New Roman" w:hAnsi="Times New Roman" w:cs="Times New Roman"/>
        </w:rPr>
        <w:t xml:space="preserve"> </w:t>
      </w:r>
      <w:r w:rsidR="002968B8" w:rsidRPr="00FE581E">
        <w:rPr>
          <w:rFonts w:ascii="Times New Roman" w:hAnsi="Times New Roman" w:cs="Times New Roman"/>
        </w:rPr>
        <w:t>Prak discusses in the European section the importance of religion for guilds</w:t>
      </w:r>
      <w:r w:rsidR="00B259B4" w:rsidRPr="00FE581E">
        <w:rPr>
          <w:rFonts w:ascii="Times New Roman" w:hAnsi="Times New Roman" w:cs="Times New Roman"/>
        </w:rPr>
        <w:t>;</w:t>
      </w:r>
      <w:r w:rsidR="002968B8" w:rsidRPr="00277EA7">
        <w:rPr>
          <w:rStyle w:val="FootnoteReference"/>
        </w:rPr>
        <w:footnoteReference w:id="7"/>
      </w:r>
      <w:r w:rsidR="002968B8" w:rsidRPr="00FE581E">
        <w:rPr>
          <w:rFonts w:ascii="Times New Roman" w:hAnsi="Times New Roman" w:cs="Times New Roman"/>
        </w:rPr>
        <w:t xml:space="preserve"> </w:t>
      </w:r>
      <w:r w:rsidR="00B259B4" w:rsidRPr="00FE581E">
        <w:rPr>
          <w:rFonts w:ascii="Times New Roman" w:hAnsi="Times New Roman" w:cs="Times New Roman"/>
        </w:rPr>
        <w:t>but</w:t>
      </w:r>
      <w:r w:rsidR="002968B8" w:rsidRPr="00FE581E">
        <w:rPr>
          <w:rFonts w:ascii="Times New Roman" w:hAnsi="Times New Roman" w:cs="Times New Roman"/>
        </w:rPr>
        <w:t xml:space="preserve"> when </w:t>
      </w:r>
      <w:r w:rsidR="002968B8" w:rsidRPr="00FE581E">
        <w:rPr>
          <w:rFonts w:ascii="Times New Roman" w:hAnsi="Times New Roman" w:cs="Times New Roman"/>
        </w:rPr>
        <w:lastRenderedPageBreak/>
        <w:t>discussing Chinese guilds there is no mention of religion</w:t>
      </w:r>
      <w:r w:rsidR="00C40E36" w:rsidRPr="00FE581E">
        <w:rPr>
          <w:rFonts w:ascii="Times New Roman" w:hAnsi="Times New Roman" w:cs="Times New Roman"/>
        </w:rPr>
        <w:t xml:space="preserve"> within guilds</w:t>
      </w:r>
      <w:r w:rsidR="002968B8" w:rsidRPr="00FE581E">
        <w:rPr>
          <w:rFonts w:ascii="Times New Roman" w:hAnsi="Times New Roman" w:cs="Times New Roman"/>
        </w:rPr>
        <w:t>. However,</w:t>
      </w:r>
      <w:r w:rsidR="002C0BB8" w:rsidRPr="00FE581E">
        <w:rPr>
          <w:rFonts w:ascii="Times New Roman" w:hAnsi="Times New Roman" w:cs="Times New Roman"/>
        </w:rPr>
        <w:t xml:space="preserve"> home-deities and native-place sentiment was essential for establishing a guild in China.</w:t>
      </w:r>
      <w:r w:rsidR="002C0BB8" w:rsidRPr="00277EA7">
        <w:rPr>
          <w:rStyle w:val="FootnoteReference"/>
        </w:rPr>
        <w:footnoteReference w:id="8"/>
      </w:r>
      <w:r w:rsidR="00BE0E1B" w:rsidRPr="00FE581E">
        <w:rPr>
          <w:rFonts w:ascii="Times New Roman" w:hAnsi="Times New Roman" w:cs="Times New Roman"/>
        </w:rPr>
        <w:t xml:space="preserve"> This essay uses </w:t>
      </w:r>
      <w:r w:rsidR="0023634B" w:rsidRPr="00FE581E">
        <w:rPr>
          <w:rFonts w:ascii="Times New Roman" w:hAnsi="Times New Roman" w:cs="Times New Roman"/>
        </w:rPr>
        <w:t>China</w:t>
      </w:r>
      <w:r w:rsidR="00BE0E1B" w:rsidRPr="00FE581E">
        <w:rPr>
          <w:rFonts w:ascii="Times New Roman" w:hAnsi="Times New Roman" w:cs="Times New Roman"/>
        </w:rPr>
        <w:t xml:space="preserve"> as an example</w:t>
      </w:r>
      <w:r w:rsidR="00B259B4" w:rsidRPr="00FE581E">
        <w:rPr>
          <w:rFonts w:ascii="Times New Roman" w:hAnsi="Times New Roman" w:cs="Times New Roman"/>
        </w:rPr>
        <w:t xml:space="preserve">, nevertheless </w:t>
      </w:r>
      <w:r w:rsidR="00BE0E1B" w:rsidRPr="00FE581E">
        <w:rPr>
          <w:rFonts w:ascii="Times New Roman" w:hAnsi="Times New Roman" w:cs="Times New Roman"/>
        </w:rPr>
        <w:t xml:space="preserve">Prak also discusses the Ottoman Empire, </w:t>
      </w:r>
      <w:r w:rsidR="00B259B4" w:rsidRPr="00FE581E">
        <w:rPr>
          <w:rFonts w:ascii="Times New Roman" w:hAnsi="Times New Roman" w:cs="Times New Roman"/>
        </w:rPr>
        <w:t xml:space="preserve">which </w:t>
      </w:r>
      <w:r w:rsidR="00BE0E1B" w:rsidRPr="00FE581E">
        <w:rPr>
          <w:rFonts w:ascii="Times New Roman" w:hAnsi="Times New Roman" w:cs="Times New Roman"/>
        </w:rPr>
        <w:t xml:space="preserve">varied through time and </w:t>
      </w:r>
      <w:r w:rsidR="0023634B" w:rsidRPr="00FE581E">
        <w:rPr>
          <w:rFonts w:ascii="Times New Roman" w:hAnsi="Times New Roman" w:cs="Times New Roman"/>
        </w:rPr>
        <w:t xml:space="preserve">covers a huge </w:t>
      </w:r>
      <w:r w:rsidR="00B259B4" w:rsidRPr="00FE581E">
        <w:rPr>
          <w:rFonts w:ascii="Times New Roman" w:hAnsi="Times New Roman" w:cs="Times New Roman"/>
        </w:rPr>
        <w:t>landmass</w:t>
      </w:r>
      <w:r w:rsidR="0023634B" w:rsidRPr="00FE581E">
        <w:rPr>
          <w:rFonts w:ascii="Times New Roman" w:hAnsi="Times New Roman" w:cs="Times New Roman"/>
        </w:rPr>
        <w:t>. Variations are bound to exist.</w:t>
      </w:r>
      <w:r w:rsidR="00A65FCD" w:rsidRPr="00FE581E">
        <w:rPr>
          <w:rFonts w:ascii="Times New Roman" w:hAnsi="Times New Roman" w:cs="Times New Roman"/>
        </w:rPr>
        <w:t xml:space="preserve"> Essentially the comparison Prak engages in suffers from asymmetry.</w:t>
      </w:r>
      <w:r w:rsidR="00A65FCD" w:rsidRPr="00277EA7">
        <w:rPr>
          <w:rStyle w:val="FootnoteReference"/>
        </w:rPr>
        <w:footnoteReference w:id="9"/>
      </w:r>
    </w:p>
    <w:p w14:paraId="0C4BB1FF" w14:textId="76045368" w:rsidR="0094276E" w:rsidRPr="00FE581E" w:rsidRDefault="00BE0E1B" w:rsidP="00035858">
      <w:pPr>
        <w:spacing w:line="360" w:lineRule="auto"/>
        <w:ind w:firstLine="720"/>
        <w:rPr>
          <w:rFonts w:ascii="Times New Roman" w:hAnsi="Times New Roman" w:cs="Times New Roman"/>
        </w:rPr>
      </w:pPr>
      <w:r w:rsidRPr="00FE581E">
        <w:rPr>
          <w:rFonts w:ascii="Times New Roman" w:hAnsi="Times New Roman" w:cs="Times New Roman"/>
        </w:rPr>
        <w:t xml:space="preserve">Another issue with Prak’s work is </w:t>
      </w:r>
      <w:r w:rsidR="00B259B4" w:rsidRPr="00FE581E">
        <w:rPr>
          <w:rFonts w:ascii="Times New Roman" w:hAnsi="Times New Roman" w:cs="Times New Roman"/>
        </w:rPr>
        <w:t xml:space="preserve">his </w:t>
      </w:r>
      <w:r w:rsidRPr="00FE581E">
        <w:rPr>
          <w:rFonts w:ascii="Times New Roman" w:hAnsi="Times New Roman" w:cs="Times New Roman"/>
        </w:rPr>
        <w:t>use of diachronic analysis.</w:t>
      </w:r>
      <w:r w:rsidR="00F43253" w:rsidRPr="00FE581E">
        <w:rPr>
          <w:rFonts w:ascii="Times New Roman" w:hAnsi="Times New Roman" w:cs="Times New Roman"/>
        </w:rPr>
        <w:t xml:space="preserve"> As a </w:t>
      </w:r>
      <w:proofErr w:type="gramStart"/>
      <w:r w:rsidR="00F43253" w:rsidRPr="00FE581E">
        <w:rPr>
          <w:rFonts w:ascii="Times New Roman" w:hAnsi="Times New Roman" w:cs="Times New Roman"/>
        </w:rPr>
        <w:t>result</w:t>
      </w:r>
      <w:proofErr w:type="gramEnd"/>
      <w:r w:rsidR="00F43253" w:rsidRPr="00FE581E">
        <w:rPr>
          <w:rFonts w:ascii="Times New Roman" w:hAnsi="Times New Roman" w:cs="Times New Roman"/>
        </w:rPr>
        <w:t xml:space="preserve"> there are </w:t>
      </w:r>
      <w:r w:rsidR="009913A6" w:rsidRPr="00FE581E">
        <w:rPr>
          <w:rFonts w:ascii="Times New Roman" w:hAnsi="Times New Roman" w:cs="Times New Roman"/>
        </w:rPr>
        <w:t>two</w:t>
      </w:r>
      <w:r w:rsidR="0042722A" w:rsidRPr="00FE581E">
        <w:rPr>
          <w:rFonts w:ascii="Times New Roman" w:hAnsi="Times New Roman" w:cs="Times New Roman"/>
        </w:rPr>
        <w:t xml:space="preserve"> main issues</w:t>
      </w:r>
      <w:r w:rsidR="00B259B4" w:rsidRPr="00FE581E">
        <w:rPr>
          <w:rFonts w:ascii="Times New Roman" w:hAnsi="Times New Roman" w:cs="Times New Roman"/>
        </w:rPr>
        <w:t>:</w:t>
      </w:r>
      <w:r w:rsidR="0042722A" w:rsidRPr="00FE581E">
        <w:rPr>
          <w:rFonts w:ascii="Times New Roman" w:hAnsi="Times New Roman" w:cs="Times New Roman"/>
        </w:rPr>
        <w:t xml:space="preserve"> </w:t>
      </w:r>
      <w:r w:rsidR="009913A6" w:rsidRPr="00FE581E">
        <w:rPr>
          <w:rFonts w:ascii="Times New Roman" w:hAnsi="Times New Roman" w:cs="Times New Roman"/>
        </w:rPr>
        <w:t>Firstly,</w:t>
      </w:r>
      <w:r w:rsidR="0042722A" w:rsidRPr="00FE581E">
        <w:rPr>
          <w:rFonts w:ascii="Times New Roman" w:hAnsi="Times New Roman" w:cs="Times New Roman"/>
        </w:rPr>
        <w:t xml:space="preserve"> terms evolve and change with time</w:t>
      </w:r>
      <w:r w:rsidR="00B259B4" w:rsidRPr="00FE581E">
        <w:rPr>
          <w:rFonts w:ascii="Times New Roman" w:hAnsi="Times New Roman" w:cs="Times New Roman"/>
        </w:rPr>
        <w:t>,</w:t>
      </w:r>
      <w:r w:rsidR="0042722A" w:rsidRPr="00FE581E">
        <w:rPr>
          <w:rFonts w:ascii="Times New Roman" w:hAnsi="Times New Roman" w:cs="Times New Roman"/>
        </w:rPr>
        <w:t xml:space="preserve"> and</w:t>
      </w:r>
      <w:r w:rsidR="0094276E" w:rsidRPr="00FE581E">
        <w:rPr>
          <w:rFonts w:ascii="Times New Roman" w:hAnsi="Times New Roman" w:cs="Times New Roman"/>
        </w:rPr>
        <w:t xml:space="preserve"> the</w:t>
      </w:r>
      <w:r w:rsidR="0042722A" w:rsidRPr="00FE581E">
        <w:rPr>
          <w:rFonts w:ascii="Times New Roman" w:hAnsi="Times New Roman" w:cs="Times New Roman"/>
        </w:rPr>
        <w:t xml:space="preserve"> two main terms </w:t>
      </w:r>
      <w:r w:rsidR="0042722A" w:rsidRPr="00FE581E">
        <w:rPr>
          <w:rFonts w:ascii="Times New Roman" w:hAnsi="Times New Roman" w:cs="Times New Roman"/>
          <w:i/>
          <w:iCs/>
        </w:rPr>
        <w:t>citizenship</w:t>
      </w:r>
      <w:r w:rsidR="0042722A" w:rsidRPr="00FE581E">
        <w:rPr>
          <w:rFonts w:ascii="Times New Roman" w:hAnsi="Times New Roman" w:cs="Times New Roman"/>
        </w:rPr>
        <w:t xml:space="preserve"> and </w:t>
      </w:r>
      <w:r w:rsidR="0042722A" w:rsidRPr="00FE581E">
        <w:rPr>
          <w:rFonts w:ascii="Times New Roman" w:hAnsi="Times New Roman" w:cs="Times New Roman"/>
          <w:i/>
          <w:iCs/>
        </w:rPr>
        <w:t>guilds</w:t>
      </w:r>
      <w:r w:rsidR="0042722A" w:rsidRPr="00FE581E">
        <w:rPr>
          <w:rFonts w:ascii="Times New Roman" w:hAnsi="Times New Roman" w:cs="Times New Roman"/>
        </w:rPr>
        <w:t xml:space="preserve"> are not treated equally. </w:t>
      </w:r>
      <w:r w:rsidR="009913A6" w:rsidRPr="00FE581E">
        <w:rPr>
          <w:rFonts w:ascii="Times New Roman" w:hAnsi="Times New Roman" w:cs="Times New Roman"/>
        </w:rPr>
        <w:t>When discussing citizenship</w:t>
      </w:r>
      <w:r w:rsidR="00B259B4" w:rsidRPr="00FE581E">
        <w:rPr>
          <w:rFonts w:ascii="Times New Roman" w:hAnsi="Times New Roman" w:cs="Times New Roman"/>
        </w:rPr>
        <w:t>,</w:t>
      </w:r>
      <w:r w:rsidR="009913A6" w:rsidRPr="00FE581E">
        <w:rPr>
          <w:rFonts w:ascii="Times New Roman" w:hAnsi="Times New Roman" w:cs="Times New Roman"/>
        </w:rPr>
        <w:t xml:space="preserve"> Prak ties it to the legal meaning, which gave people rights and responsibilities.</w:t>
      </w:r>
      <w:r w:rsidR="009913A6" w:rsidRPr="00277EA7">
        <w:rPr>
          <w:rStyle w:val="FootnoteReference"/>
        </w:rPr>
        <w:footnoteReference w:id="10"/>
      </w:r>
      <w:r w:rsidR="009913A6" w:rsidRPr="00FE581E">
        <w:rPr>
          <w:rFonts w:ascii="Times New Roman" w:hAnsi="Times New Roman" w:cs="Times New Roman"/>
        </w:rPr>
        <w:t xml:space="preserve"> In the beginning chapter he acknowledges variation </w:t>
      </w:r>
      <w:r w:rsidR="000A6936" w:rsidRPr="00FE581E">
        <w:rPr>
          <w:rFonts w:ascii="Times New Roman" w:hAnsi="Times New Roman" w:cs="Times New Roman"/>
        </w:rPr>
        <w:t>among</w:t>
      </w:r>
      <w:r w:rsidR="00687067" w:rsidRPr="00FE581E">
        <w:rPr>
          <w:rFonts w:ascii="Times New Roman" w:hAnsi="Times New Roman" w:cs="Times New Roman"/>
        </w:rPr>
        <w:t xml:space="preserve"> countries</w:t>
      </w:r>
      <w:r w:rsidR="000A6936" w:rsidRPr="00FE581E">
        <w:rPr>
          <w:rFonts w:ascii="Times New Roman" w:hAnsi="Times New Roman" w:cs="Times New Roman"/>
        </w:rPr>
        <w:t>. H</w:t>
      </w:r>
      <w:r w:rsidR="00687067" w:rsidRPr="00FE581E">
        <w:rPr>
          <w:rFonts w:ascii="Times New Roman" w:hAnsi="Times New Roman" w:cs="Times New Roman"/>
        </w:rPr>
        <w:t>owever,</w:t>
      </w:r>
      <w:r w:rsidR="009913A6" w:rsidRPr="00FE581E">
        <w:rPr>
          <w:rFonts w:ascii="Times New Roman" w:hAnsi="Times New Roman" w:cs="Times New Roman"/>
        </w:rPr>
        <w:t xml:space="preserve"> </w:t>
      </w:r>
      <w:r w:rsidR="00687067" w:rsidRPr="00FE581E">
        <w:rPr>
          <w:rFonts w:ascii="Times New Roman" w:hAnsi="Times New Roman" w:cs="Times New Roman"/>
        </w:rPr>
        <w:t>he presumes</w:t>
      </w:r>
      <w:r w:rsidR="009913A6" w:rsidRPr="00FE581E">
        <w:rPr>
          <w:rFonts w:ascii="Times New Roman" w:hAnsi="Times New Roman" w:cs="Times New Roman"/>
        </w:rPr>
        <w:t xml:space="preserve"> the </w:t>
      </w:r>
      <w:r w:rsidR="000A6936" w:rsidRPr="00FE581E">
        <w:rPr>
          <w:rFonts w:ascii="Times New Roman" w:hAnsi="Times New Roman" w:cs="Times New Roman"/>
        </w:rPr>
        <w:t xml:space="preserve">legal definition, as well as the acquisition process as </w:t>
      </w:r>
      <w:r w:rsidR="009913A6" w:rsidRPr="00FE581E">
        <w:rPr>
          <w:rFonts w:ascii="Times New Roman" w:hAnsi="Times New Roman" w:cs="Times New Roman"/>
        </w:rPr>
        <w:t>static. In contrast</w:t>
      </w:r>
      <w:r w:rsidR="000A6936" w:rsidRPr="00FE581E">
        <w:rPr>
          <w:rFonts w:ascii="Times New Roman" w:hAnsi="Times New Roman" w:cs="Times New Roman"/>
        </w:rPr>
        <w:t xml:space="preserve"> to his treatment of citizenship</w:t>
      </w:r>
      <w:r w:rsidR="00B013EA" w:rsidRPr="00FE581E">
        <w:rPr>
          <w:rFonts w:ascii="Times New Roman" w:hAnsi="Times New Roman" w:cs="Times New Roman"/>
        </w:rPr>
        <w:t>,</w:t>
      </w:r>
      <w:r w:rsidR="009913A6" w:rsidRPr="00FE581E">
        <w:rPr>
          <w:rFonts w:ascii="Times New Roman" w:hAnsi="Times New Roman" w:cs="Times New Roman"/>
        </w:rPr>
        <w:t xml:space="preserve"> he traces guilds and their evolution repeatedly throughout the text.</w:t>
      </w:r>
      <w:r w:rsidR="009913A6" w:rsidRPr="00277EA7">
        <w:rPr>
          <w:rStyle w:val="FootnoteReference"/>
        </w:rPr>
        <w:footnoteReference w:id="11"/>
      </w:r>
      <w:r w:rsidR="00B013EA" w:rsidRPr="00FE581E">
        <w:rPr>
          <w:rFonts w:ascii="Times New Roman" w:hAnsi="Times New Roman" w:cs="Times New Roman"/>
        </w:rPr>
        <w:t xml:space="preserve"> </w:t>
      </w:r>
      <w:r w:rsidR="00EC4A25" w:rsidRPr="00FE581E">
        <w:rPr>
          <w:rFonts w:ascii="Times New Roman" w:hAnsi="Times New Roman" w:cs="Times New Roman"/>
        </w:rPr>
        <w:t>Since</w:t>
      </w:r>
      <w:r w:rsidR="00B013EA" w:rsidRPr="00FE581E">
        <w:rPr>
          <w:rFonts w:ascii="Times New Roman" w:hAnsi="Times New Roman" w:cs="Times New Roman"/>
        </w:rPr>
        <w:t xml:space="preserve"> guilds and citizenship are tied together</w:t>
      </w:r>
      <w:r w:rsidR="00EC4A25" w:rsidRPr="00FE581E">
        <w:rPr>
          <w:rFonts w:ascii="Times New Roman" w:hAnsi="Times New Roman" w:cs="Times New Roman"/>
        </w:rPr>
        <w:t>,</w:t>
      </w:r>
      <w:r w:rsidR="000A6936" w:rsidRPr="00277EA7">
        <w:rPr>
          <w:rStyle w:val="FootnoteReference"/>
        </w:rPr>
        <w:footnoteReference w:id="12"/>
      </w:r>
      <w:r w:rsidR="00EC4A25" w:rsidRPr="00FE581E">
        <w:rPr>
          <w:rFonts w:ascii="Times New Roman" w:hAnsi="Times New Roman" w:cs="Times New Roman"/>
        </w:rPr>
        <w:t xml:space="preserve"> </w:t>
      </w:r>
      <w:r w:rsidR="00B013EA" w:rsidRPr="00FE581E">
        <w:rPr>
          <w:rFonts w:ascii="Times New Roman" w:hAnsi="Times New Roman" w:cs="Times New Roman"/>
        </w:rPr>
        <w:t xml:space="preserve">overlooking the evolution of </w:t>
      </w:r>
      <w:r w:rsidR="000A6936" w:rsidRPr="00FE581E">
        <w:rPr>
          <w:rFonts w:ascii="Times New Roman" w:hAnsi="Times New Roman" w:cs="Times New Roman"/>
        </w:rPr>
        <w:t>one of these</w:t>
      </w:r>
      <w:r w:rsidR="00B013EA" w:rsidRPr="00FE581E">
        <w:rPr>
          <w:rFonts w:ascii="Times New Roman" w:hAnsi="Times New Roman" w:cs="Times New Roman"/>
        </w:rPr>
        <w:t xml:space="preserve"> terms creates a gap in analysis</w:t>
      </w:r>
      <w:r w:rsidR="0094276E" w:rsidRPr="00FE581E">
        <w:rPr>
          <w:rFonts w:ascii="Times New Roman" w:hAnsi="Times New Roman" w:cs="Times New Roman"/>
        </w:rPr>
        <w:t>. The second issue is narrativization</w:t>
      </w:r>
      <w:r w:rsidR="000A6936" w:rsidRPr="00FE581E">
        <w:rPr>
          <w:rFonts w:ascii="Times New Roman" w:hAnsi="Times New Roman" w:cs="Times New Roman"/>
        </w:rPr>
        <w:t xml:space="preserve">, which is highlighted </w:t>
      </w:r>
      <w:r w:rsidR="0094276E" w:rsidRPr="00FE581E">
        <w:rPr>
          <w:rFonts w:ascii="Times New Roman" w:hAnsi="Times New Roman" w:cs="Times New Roman"/>
        </w:rPr>
        <w:t xml:space="preserve">in the second section. In </w:t>
      </w:r>
      <w:r w:rsidR="000A6936" w:rsidRPr="00FE581E">
        <w:rPr>
          <w:rFonts w:ascii="Times New Roman" w:hAnsi="Times New Roman" w:cs="Times New Roman"/>
        </w:rPr>
        <w:t xml:space="preserve">it, </w:t>
      </w:r>
      <w:r w:rsidR="0094276E" w:rsidRPr="00FE581E">
        <w:rPr>
          <w:rFonts w:ascii="Times New Roman" w:hAnsi="Times New Roman" w:cs="Times New Roman"/>
        </w:rPr>
        <w:t>Prak asserts he engages in variation-finding comparison.</w:t>
      </w:r>
      <w:bookmarkStart w:id="0" w:name="_Ref178585230"/>
      <w:r w:rsidR="0094276E" w:rsidRPr="00277EA7">
        <w:rPr>
          <w:rStyle w:val="FootnoteReference"/>
        </w:rPr>
        <w:footnoteReference w:id="13"/>
      </w:r>
      <w:bookmarkEnd w:id="0"/>
      <w:r w:rsidR="0094276E" w:rsidRPr="00FE581E">
        <w:rPr>
          <w:rFonts w:ascii="Times New Roman" w:hAnsi="Times New Roman" w:cs="Times New Roman"/>
        </w:rPr>
        <w:t xml:space="preserve"> Variation-finding comparison presents a </w:t>
      </w:r>
      <w:r w:rsidR="00082D1E" w:rsidRPr="00FE581E">
        <w:rPr>
          <w:rFonts w:ascii="Times New Roman" w:hAnsi="Times New Roman" w:cs="Times New Roman"/>
        </w:rPr>
        <w:t>singular phenomenon</w:t>
      </w:r>
      <w:r w:rsidR="0094276E" w:rsidRPr="00FE581E">
        <w:rPr>
          <w:rFonts w:ascii="Times New Roman" w:hAnsi="Times New Roman" w:cs="Times New Roman"/>
        </w:rPr>
        <w:t xml:space="preserve"> with different cases understood as variation of that phenomena.</w:t>
      </w:r>
      <w:r w:rsidR="00B26BE6" w:rsidRPr="00277EA7">
        <w:rPr>
          <w:rStyle w:val="FootnoteReference"/>
        </w:rPr>
        <w:footnoteReference w:id="14"/>
      </w:r>
      <w:r w:rsidR="00082D1E" w:rsidRPr="00FE581E">
        <w:rPr>
          <w:rFonts w:ascii="Times New Roman" w:hAnsi="Times New Roman" w:cs="Times New Roman"/>
        </w:rPr>
        <w:t xml:space="preserve"> The phenomenon Prak wants to study is why identical local institutions </w:t>
      </w:r>
      <w:r w:rsidR="000A6936" w:rsidRPr="00FE581E">
        <w:rPr>
          <w:rFonts w:ascii="Times New Roman" w:hAnsi="Times New Roman" w:cs="Times New Roman"/>
        </w:rPr>
        <w:t xml:space="preserve">in different countries </w:t>
      </w:r>
      <w:r w:rsidR="00082D1E" w:rsidRPr="00FE581E">
        <w:rPr>
          <w:rFonts w:ascii="Times New Roman" w:hAnsi="Times New Roman" w:cs="Times New Roman"/>
        </w:rPr>
        <w:t>did not produce the</w:t>
      </w:r>
      <w:r w:rsidR="000A6936" w:rsidRPr="00FE581E">
        <w:rPr>
          <w:rFonts w:ascii="Times New Roman" w:hAnsi="Times New Roman" w:cs="Times New Roman"/>
        </w:rPr>
        <w:t xml:space="preserve"> same</w:t>
      </w:r>
      <w:r w:rsidR="00082D1E" w:rsidRPr="00FE581E">
        <w:rPr>
          <w:rFonts w:ascii="Times New Roman" w:hAnsi="Times New Roman" w:cs="Times New Roman"/>
        </w:rPr>
        <w:t xml:space="preserve"> </w:t>
      </w:r>
      <w:r w:rsidR="000A6936" w:rsidRPr="00FE581E">
        <w:rPr>
          <w:rFonts w:ascii="Times New Roman" w:hAnsi="Times New Roman" w:cs="Times New Roman"/>
        </w:rPr>
        <w:t>beneficial</w:t>
      </w:r>
      <w:r w:rsidR="00082D1E" w:rsidRPr="00FE581E">
        <w:rPr>
          <w:rFonts w:ascii="Times New Roman" w:hAnsi="Times New Roman" w:cs="Times New Roman"/>
        </w:rPr>
        <w:t xml:space="preserve"> results</w:t>
      </w:r>
      <w:r w:rsidR="000A6936" w:rsidRPr="00FE581E">
        <w:rPr>
          <w:rFonts w:ascii="Times New Roman" w:hAnsi="Times New Roman" w:cs="Times New Roman"/>
        </w:rPr>
        <w:t xml:space="preserve"> for political freedom</w:t>
      </w:r>
      <w:r w:rsidR="00082D1E" w:rsidRPr="00FE581E">
        <w:rPr>
          <w:rFonts w:ascii="Times New Roman" w:hAnsi="Times New Roman" w:cs="Times New Roman"/>
        </w:rPr>
        <w:t>.</w:t>
      </w:r>
      <w:r w:rsidR="00892100" w:rsidRPr="00FE581E">
        <w:rPr>
          <w:rFonts w:ascii="Times New Roman" w:hAnsi="Times New Roman" w:cs="Times New Roman"/>
        </w:rPr>
        <w:fldChar w:fldCharType="begin"/>
      </w:r>
      <w:r w:rsidR="00892100" w:rsidRPr="00FE581E">
        <w:rPr>
          <w:rFonts w:ascii="Times New Roman" w:hAnsi="Times New Roman" w:cs="Times New Roman"/>
        </w:rPr>
        <w:instrText xml:space="preserve"> NOTEREF _Ref178585230 \f \h </w:instrText>
      </w:r>
      <w:r w:rsidR="00FE581E">
        <w:rPr>
          <w:rFonts w:ascii="Times New Roman" w:hAnsi="Times New Roman" w:cs="Times New Roman"/>
        </w:rPr>
        <w:instrText xml:space="preserve"> \* MERGEFORMAT </w:instrText>
      </w:r>
      <w:r w:rsidR="00892100" w:rsidRPr="00FE581E">
        <w:rPr>
          <w:rFonts w:ascii="Times New Roman" w:hAnsi="Times New Roman" w:cs="Times New Roman"/>
        </w:rPr>
      </w:r>
      <w:r w:rsidR="00892100" w:rsidRPr="00FE581E">
        <w:rPr>
          <w:rFonts w:ascii="Times New Roman" w:hAnsi="Times New Roman" w:cs="Times New Roman"/>
        </w:rPr>
        <w:fldChar w:fldCharType="separate"/>
      </w:r>
      <w:r w:rsidR="00892100" w:rsidRPr="00FE581E">
        <w:rPr>
          <w:rStyle w:val="FootnoteReference"/>
          <w:rFonts w:ascii="Times New Roman" w:hAnsi="Times New Roman" w:cs="Times New Roman"/>
        </w:rPr>
        <w:t>13</w:t>
      </w:r>
      <w:r w:rsidR="00892100" w:rsidRPr="00FE581E">
        <w:rPr>
          <w:rFonts w:ascii="Times New Roman" w:hAnsi="Times New Roman" w:cs="Times New Roman"/>
        </w:rPr>
        <w:fldChar w:fldCharType="end"/>
      </w:r>
      <w:r w:rsidR="00082D1E" w:rsidRPr="00FE581E">
        <w:rPr>
          <w:rFonts w:ascii="Times New Roman" w:hAnsi="Times New Roman" w:cs="Times New Roman"/>
        </w:rPr>
        <w:t xml:space="preserve"> </w:t>
      </w:r>
      <w:r w:rsidR="0079367E" w:rsidRPr="00FE581E">
        <w:rPr>
          <w:rFonts w:ascii="Times New Roman" w:hAnsi="Times New Roman" w:cs="Times New Roman"/>
        </w:rPr>
        <w:t xml:space="preserve">He attributes civic representation within </w:t>
      </w:r>
      <w:r w:rsidR="00050E07" w:rsidRPr="00FE581E">
        <w:rPr>
          <w:rFonts w:ascii="Times New Roman" w:hAnsi="Times New Roman" w:cs="Times New Roman"/>
        </w:rPr>
        <w:t>institutions</w:t>
      </w:r>
      <w:r w:rsidR="0079367E" w:rsidRPr="00FE581E">
        <w:rPr>
          <w:rFonts w:ascii="Times New Roman" w:hAnsi="Times New Roman" w:cs="Times New Roman"/>
        </w:rPr>
        <w:t xml:space="preserve"> as a cause.</w:t>
      </w:r>
      <w:r w:rsidR="0079367E" w:rsidRPr="00277EA7">
        <w:rPr>
          <w:rStyle w:val="FootnoteReference"/>
        </w:rPr>
        <w:footnoteReference w:id="15"/>
      </w:r>
      <w:r w:rsidR="0079367E" w:rsidRPr="00FE581E">
        <w:rPr>
          <w:rFonts w:ascii="Times New Roman" w:hAnsi="Times New Roman" w:cs="Times New Roman"/>
        </w:rPr>
        <w:t xml:space="preserve"> However</w:t>
      </w:r>
      <w:r w:rsidR="00050E07" w:rsidRPr="00FE581E">
        <w:rPr>
          <w:rFonts w:ascii="Times New Roman" w:hAnsi="Times New Roman" w:cs="Times New Roman"/>
        </w:rPr>
        <w:t xml:space="preserve">, </w:t>
      </w:r>
      <w:r w:rsidR="0079367E" w:rsidRPr="00FE581E">
        <w:rPr>
          <w:rFonts w:ascii="Times New Roman" w:hAnsi="Times New Roman" w:cs="Times New Roman"/>
        </w:rPr>
        <w:t>Prak goes on to simply narrativize and engage in descriptive work</w:t>
      </w:r>
      <w:r w:rsidR="000A6936" w:rsidRPr="00FE581E">
        <w:rPr>
          <w:rFonts w:ascii="Times New Roman" w:hAnsi="Times New Roman" w:cs="Times New Roman"/>
        </w:rPr>
        <w:t>. T</w:t>
      </w:r>
      <w:r w:rsidR="0079367E" w:rsidRPr="00FE581E">
        <w:rPr>
          <w:rFonts w:ascii="Times New Roman" w:hAnsi="Times New Roman" w:cs="Times New Roman"/>
        </w:rPr>
        <w:t>here is little to no comparison between the countries analyzed. Prak</w:t>
      </w:r>
      <w:r w:rsidR="000A6936" w:rsidRPr="00FE581E">
        <w:rPr>
          <w:rFonts w:ascii="Times New Roman" w:hAnsi="Times New Roman" w:cs="Times New Roman"/>
        </w:rPr>
        <w:t>,</w:t>
      </w:r>
      <w:r w:rsidR="0079367E" w:rsidRPr="00FE581E">
        <w:rPr>
          <w:rFonts w:ascii="Times New Roman" w:hAnsi="Times New Roman" w:cs="Times New Roman"/>
        </w:rPr>
        <w:t xml:space="preserve"> for this section</w:t>
      </w:r>
      <w:r w:rsidR="000A6936" w:rsidRPr="00FE581E">
        <w:rPr>
          <w:rFonts w:ascii="Times New Roman" w:hAnsi="Times New Roman" w:cs="Times New Roman"/>
        </w:rPr>
        <w:t>,</w:t>
      </w:r>
      <w:r w:rsidR="0079367E" w:rsidRPr="00FE581E">
        <w:rPr>
          <w:rFonts w:ascii="Times New Roman" w:hAnsi="Times New Roman" w:cs="Times New Roman"/>
        </w:rPr>
        <w:t xml:space="preserve"> would have benefited from adopting a less rigid delineation between countries</w:t>
      </w:r>
      <w:r w:rsidR="001115B2" w:rsidRPr="00FE581E">
        <w:rPr>
          <w:rFonts w:ascii="Times New Roman" w:hAnsi="Times New Roman" w:cs="Times New Roman"/>
        </w:rPr>
        <w:t xml:space="preserve"> and organizing the section based on the different institutions across countries.</w:t>
      </w:r>
      <w:r w:rsidR="00050E07" w:rsidRPr="00FE581E">
        <w:rPr>
          <w:rFonts w:ascii="Times New Roman" w:hAnsi="Times New Roman" w:cs="Times New Roman"/>
        </w:rPr>
        <w:t xml:space="preserve"> </w:t>
      </w:r>
    </w:p>
    <w:p w14:paraId="7B631312" w14:textId="20803D22" w:rsidR="00FE581E" w:rsidRPr="00FE581E" w:rsidRDefault="00050E07" w:rsidP="00035858">
      <w:pPr>
        <w:spacing w:line="360" w:lineRule="auto"/>
        <w:ind w:firstLine="720"/>
        <w:rPr>
          <w:rFonts w:ascii="Times New Roman" w:hAnsi="Times New Roman" w:cs="Times New Roman"/>
        </w:rPr>
      </w:pPr>
      <w:r w:rsidRPr="00FE581E">
        <w:rPr>
          <w:rFonts w:ascii="Times New Roman" w:hAnsi="Times New Roman" w:cs="Times New Roman"/>
        </w:rPr>
        <w:lastRenderedPageBreak/>
        <w:t xml:space="preserve">Prak’s work is highly informative. The sections were Prak discusses guilds and their roles within civil society and governments provide an interesting </w:t>
      </w:r>
      <w:r w:rsidR="00C83B32" w:rsidRPr="00FE581E">
        <w:rPr>
          <w:rFonts w:ascii="Times New Roman" w:hAnsi="Times New Roman" w:cs="Times New Roman"/>
        </w:rPr>
        <w:t>view</w:t>
      </w:r>
      <w:r w:rsidRPr="00FE581E">
        <w:rPr>
          <w:rFonts w:ascii="Times New Roman" w:hAnsi="Times New Roman" w:cs="Times New Roman"/>
        </w:rPr>
        <w:t xml:space="preserve">, presenting power separate from the state. </w:t>
      </w:r>
      <w:r w:rsidR="009D7321" w:rsidRPr="00FE581E">
        <w:rPr>
          <w:rFonts w:ascii="Times New Roman" w:hAnsi="Times New Roman" w:cs="Times New Roman"/>
        </w:rPr>
        <w:t xml:space="preserve">This </w:t>
      </w:r>
      <w:r w:rsidR="00C83B32" w:rsidRPr="00FE581E">
        <w:rPr>
          <w:rFonts w:ascii="Times New Roman" w:hAnsi="Times New Roman" w:cs="Times New Roman"/>
        </w:rPr>
        <w:t>perspective</w:t>
      </w:r>
      <w:r w:rsidR="009D7321" w:rsidRPr="00FE581E">
        <w:rPr>
          <w:rFonts w:ascii="Times New Roman" w:hAnsi="Times New Roman" w:cs="Times New Roman"/>
        </w:rPr>
        <w:t xml:space="preserve"> is especially important in the middle-ages and early modern history</w:t>
      </w:r>
      <w:r w:rsidR="001D3AAE" w:rsidRPr="00FE581E">
        <w:rPr>
          <w:rFonts w:ascii="Times New Roman" w:hAnsi="Times New Roman" w:cs="Times New Roman"/>
        </w:rPr>
        <w:t>,</w:t>
      </w:r>
      <w:r w:rsidR="009D7321" w:rsidRPr="00FE581E">
        <w:rPr>
          <w:rFonts w:ascii="Times New Roman" w:hAnsi="Times New Roman" w:cs="Times New Roman"/>
        </w:rPr>
        <w:t xml:space="preserve"> since the modern state evolved and changed throughout this period. </w:t>
      </w:r>
      <w:r w:rsidR="00CB5D84" w:rsidRPr="00FE581E">
        <w:rPr>
          <w:rFonts w:ascii="Times New Roman" w:hAnsi="Times New Roman" w:cs="Times New Roman"/>
        </w:rPr>
        <w:t xml:space="preserve">Prak’s goals are highly ambitious. </w:t>
      </w:r>
      <w:r w:rsidR="00C83B32" w:rsidRPr="00FE581E">
        <w:rPr>
          <w:rFonts w:ascii="Times New Roman" w:hAnsi="Times New Roman" w:cs="Times New Roman"/>
        </w:rPr>
        <w:t>However, h</w:t>
      </w:r>
      <w:r w:rsidR="00CB5D84" w:rsidRPr="00FE581E">
        <w:rPr>
          <w:rFonts w:ascii="Times New Roman" w:hAnsi="Times New Roman" w:cs="Times New Roman"/>
        </w:rPr>
        <w:t xml:space="preserve">is attempt at global history unfortunately follows </w:t>
      </w:r>
      <w:r w:rsidR="00C83B32" w:rsidRPr="00FE581E">
        <w:rPr>
          <w:rFonts w:ascii="Times New Roman" w:hAnsi="Times New Roman" w:cs="Times New Roman"/>
        </w:rPr>
        <w:t xml:space="preserve">a trend which attempt to fit Asia into western criteria. In his ambition to present a diachronic approach which acknowledges change </w:t>
      </w:r>
      <w:r w:rsidR="00E35412" w:rsidRPr="00FE581E">
        <w:rPr>
          <w:rFonts w:ascii="Times New Roman" w:hAnsi="Times New Roman" w:cs="Times New Roman"/>
        </w:rPr>
        <w:t xml:space="preserve">through time </w:t>
      </w:r>
      <w:r w:rsidR="00C83B32" w:rsidRPr="00FE581E">
        <w:rPr>
          <w:rFonts w:ascii="Times New Roman" w:hAnsi="Times New Roman" w:cs="Times New Roman"/>
        </w:rPr>
        <w:t xml:space="preserve">he </w:t>
      </w:r>
      <w:r w:rsidR="001D3AAE" w:rsidRPr="00FE581E">
        <w:rPr>
          <w:rFonts w:ascii="Times New Roman" w:hAnsi="Times New Roman" w:cs="Times New Roman"/>
        </w:rPr>
        <w:t xml:space="preserve">falls short of his </w:t>
      </w:r>
      <w:r w:rsidR="00C83B32" w:rsidRPr="00FE581E">
        <w:rPr>
          <w:rFonts w:ascii="Times New Roman" w:hAnsi="Times New Roman" w:cs="Times New Roman"/>
        </w:rPr>
        <w:t xml:space="preserve">goals by engaging in narrativization. </w:t>
      </w:r>
    </w:p>
    <w:p w14:paraId="72B60FB9" w14:textId="77777777" w:rsidR="00FE581E" w:rsidRPr="00FE581E" w:rsidRDefault="00FE581E" w:rsidP="00035858">
      <w:pPr>
        <w:spacing w:line="360" w:lineRule="auto"/>
        <w:rPr>
          <w:rFonts w:ascii="Times New Roman" w:hAnsi="Times New Roman" w:cs="Times New Roman"/>
        </w:rPr>
      </w:pPr>
      <w:r w:rsidRPr="00FE581E">
        <w:rPr>
          <w:rFonts w:ascii="Times New Roman" w:hAnsi="Times New Roman" w:cs="Times New Roman"/>
        </w:rPr>
        <w:br w:type="page"/>
      </w:r>
    </w:p>
    <w:p w14:paraId="5EDB5CB4" w14:textId="52CC712C" w:rsidR="00050E07" w:rsidRPr="00FE581E" w:rsidRDefault="00FE581E" w:rsidP="00035858">
      <w:pPr>
        <w:spacing w:line="360" w:lineRule="auto"/>
        <w:ind w:firstLine="720"/>
        <w:rPr>
          <w:rFonts w:ascii="Times New Roman" w:hAnsi="Times New Roman" w:cs="Times New Roman"/>
          <w:b/>
          <w:bCs/>
        </w:rPr>
      </w:pPr>
      <w:r w:rsidRPr="00FE581E">
        <w:rPr>
          <w:rFonts w:ascii="Times New Roman" w:hAnsi="Times New Roman" w:cs="Times New Roman"/>
          <w:b/>
          <w:bCs/>
        </w:rPr>
        <w:lastRenderedPageBreak/>
        <w:t>Sources</w:t>
      </w:r>
    </w:p>
    <w:p w14:paraId="60BA42EC"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b/>
          <w:bCs/>
        </w:rPr>
        <w:fldChar w:fldCharType="begin"/>
      </w:r>
      <w:r w:rsidRPr="00FE581E">
        <w:rPr>
          <w:rFonts w:ascii="Times New Roman" w:hAnsi="Times New Roman" w:cs="Times New Roman"/>
          <w:b/>
          <w:bCs/>
        </w:rPr>
        <w:instrText xml:space="preserve"> ADDIN ZOTERO_BIBL {"uncited":[],"omitted":[],"custom":[]} CSL_BIBLIOGRAPHY </w:instrText>
      </w:r>
      <w:r w:rsidRPr="00FE581E">
        <w:rPr>
          <w:rFonts w:ascii="Times New Roman" w:hAnsi="Times New Roman" w:cs="Times New Roman"/>
          <w:b/>
          <w:bCs/>
        </w:rPr>
        <w:fldChar w:fldCharType="separate"/>
      </w:r>
      <w:r w:rsidRPr="00FE581E">
        <w:rPr>
          <w:rFonts w:ascii="Times New Roman" w:hAnsi="Times New Roman" w:cs="Times New Roman"/>
        </w:rPr>
        <w:t xml:space="preserve">Berger, Stefan. 2003. “Comparative History.” In </w:t>
      </w:r>
      <w:r w:rsidRPr="00FE581E">
        <w:rPr>
          <w:rFonts w:ascii="Times New Roman" w:hAnsi="Times New Roman" w:cs="Times New Roman"/>
          <w:i/>
          <w:iCs/>
        </w:rPr>
        <w:t>Writing History: Theory and Practice</w:t>
      </w:r>
      <w:r w:rsidRPr="00FE581E">
        <w:rPr>
          <w:rFonts w:ascii="Times New Roman" w:hAnsi="Times New Roman" w:cs="Times New Roman"/>
        </w:rPr>
        <w:t>, edited by Stefan Berger, Heiko Feldner, and Kevin Passmore, 1st ed. Writing History. Hodder Arnold.</w:t>
      </w:r>
    </w:p>
    <w:p w14:paraId="64A62EF3"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Friedmann, John. 2007. “Reflections on Place and Place‐making in the Cities of China.” </w:t>
      </w:r>
      <w:r w:rsidRPr="00FE581E">
        <w:rPr>
          <w:rFonts w:ascii="Times New Roman" w:hAnsi="Times New Roman" w:cs="Times New Roman"/>
          <w:i/>
          <w:iCs/>
        </w:rPr>
        <w:t>International Journal of Urban and Regional Research</w:t>
      </w:r>
      <w:r w:rsidRPr="00FE581E">
        <w:rPr>
          <w:rFonts w:ascii="Times New Roman" w:hAnsi="Times New Roman" w:cs="Times New Roman"/>
        </w:rPr>
        <w:t xml:space="preserve"> 31 (2): 257–79. https://doi.org/10.1111/j.1468-2427.2007.00726.x.</w:t>
      </w:r>
    </w:p>
    <w:p w14:paraId="56640A99"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Kocka, Jürgen. 2009. “Comparative History: Methodology and Ethos.” </w:t>
      </w:r>
      <w:r w:rsidRPr="00FE581E">
        <w:rPr>
          <w:rFonts w:ascii="Times New Roman" w:hAnsi="Times New Roman" w:cs="Times New Roman"/>
          <w:i/>
          <w:iCs/>
        </w:rPr>
        <w:t>East Central Europe</w:t>
      </w:r>
      <w:r w:rsidRPr="00FE581E">
        <w:rPr>
          <w:rFonts w:ascii="Times New Roman" w:hAnsi="Times New Roman" w:cs="Times New Roman"/>
        </w:rPr>
        <w:t xml:space="preserve"> 36 (1): 12–19. https://doi.org/10.1163/187633009X411430.</w:t>
      </w:r>
    </w:p>
    <w:p w14:paraId="56F7861E"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Moll-Murata, Christine. 2008. “Chinese Guilds from the Seventeenth to the Twentieth Centuries: An Overview.” </w:t>
      </w:r>
      <w:r w:rsidRPr="00FE581E">
        <w:rPr>
          <w:rFonts w:ascii="Times New Roman" w:hAnsi="Times New Roman" w:cs="Times New Roman"/>
          <w:i/>
          <w:iCs/>
        </w:rPr>
        <w:t>International Review of Social History</w:t>
      </w:r>
      <w:r w:rsidRPr="00FE581E">
        <w:rPr>
          <w:rFonts w:ascii="Times New Roman" w:hAnsi="Times New Roman" w:cs="Times New Roman"/>
        </w:rPr>
        <w:t xml:space="preserve"> 53 (S16): 213–47. https://doi.org/10.1017/S0020859008003672.</w:t>
      </w:r>
    </w:p>
    <w:p w14:paraId="70E1145F" w14:textId="77777777" w:rsidR="00FE581E" w:rsidRPr="00FE581E" w:rsidRDefault="00FE581E" w:rsidP="00035858">
      <w:pPr>
        <w:pStyle w:val="Bibliography"/>
        <w:spacing w:line="360" w:lineRule="auto"/>
        <w:rPr>
          <w:rFonts w:ascii="Times New Roman" w:hAnsi="Times New Roman" w:cs="Times New Roman"/>
        </w:rPr>
      </w:pPr>
      <w:r w:rsidRPr="00FE581E">
        <w:rPr>
          <w:rFonts w:ascii="Times New Roman" w:hAnsi="Times New Roman" w:cs="Times New Roman"/>
        </w:rPr>
        <w:t xml:space="preserve">Prak, Maarten. 2018. </w:t>
      </w:r>
      <w:r w:rsidRPr="00FE581E">
        <w:rPr>
          <w:rFonts w:ascii="Times New Roman" w:hAnsi="Times New Roman" w:cs="Times New Roman"/>
          <w:i/>
          <w:iCs/>
        </w:rPr>
        <w:t>Citizens without Nations: Urban Citizenship in Europe and the World, c.1000–1789</w:t>
      </w:r>
      <w:r w:rsidRPr="00FE581E">
        <w:rPr>
          <w:rFonts w:ascii="Times New Roman" w:hAnsi="Times New Roman" w:cs="Times New Roman"/>
        </w:rPr>
        <w:t>. 1st ed. Cambridge University Press. https://doi.org/10.1017/9781316219027.</w:t>
      </w:r>
    </w:p>
    <w:p w14:paraId="1505758D" w14:textId="19DE0A33" w:rsidR="00FE581E" w:rsidRPr="00FE581E" w:rsidRDefault="00FE581E" w:rsidP="00035858">
      <w:pPr>
        <w:spacing w:line="360" w:lineRule="auto"/>
        <w:ind w:firstLine="720"/>
        <w:rPr>
          <w:rFonts w:ascii="Times New Roman" w:hAnsi="Times New Roman" w:cs="Times New Roman"/>
          <w:b/>
          <w:bCs/>
        </w:rPr>
      </w:pPr>
      <w:r w:rsidRPr="00FE581E">
        <w:rPr>
          <w:rFonts w:ascii="Times New Roman" w:hAnsi="Times New Roman" w:cs="Times New Roman"/>
          <w:b/>
          <w:bCs/>
        </w:rPr>
        <w:fldChar w:fldCharType="end"/>
      </w:r>
    </w:p>
    <w:sectPr w:rsidR="00FE581E" w:rsidRPr="00FE58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4F5A1" w14:textId="77777777" w:rsidR="006D05F0" w:rsidRDefault="006D05F0" w:rsidP="00455BA8">
      <w:pPr>
        <w:spacing w:after="0" w:line="240" w:lineRule="auto"/>
      </w:pPr>
      <w:r>
        <w:separator/>
      </w:r>
    </w:p>
  </w:endnote>
  <w:endnote w:type="continuationSeparator" w:id="0">
    <w:p w14:paraId="00D26691" w14:textId="77777777" w:rsidR="006D05F0" w:rsidRDefault="006D05F0" w:rsidP="0045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FD621" w14:textId="77777777" w:rsidR="006D05F0" w:rsidRDefault="006D05F0" w:rsidP="00455BA8">
      <w:pPr>
        <w:spacing w:after="0" w:line="240" w:lineRule="auto"/>
      </w:pPr>
      <w:r>
        <w:separator/>
      </w:r>
    </w:p>
  </w:footnote>
  <w:footnote w:type="continuationSeparator" w:id="0">
    <w:p w14:paraId="03584E03" w14:textId="77777777" w:rsidR="006D05F0" w:rsidRDefault="006D05F0" w:rsidP="00455BA8">
      <w:pPr>
        <w:spacing w:after="0" w:line="240" w:lineRule="auto"/>
      </w:pPr>
      <w:r>
        <w:continuationSeparator/>
      </w:r>
    </w:p>
  </w:footnote>
  <w:footnote w:id="1">
    <w:p w14:paraId="3B5A823F" w14:textId="4DD24080" w:rsidR="00455BA8" w:rsidRPr="00FE581E" w:rsidRDefault="00455BA8">
      <w:pPr>
        <w:pStyle w:val="FootnoteText"/>
        <w:rPr>
          <w:rFonts w:ascii="Times New Roman" w:hAnsi="Times New Roman" w:cs="Times New Roman"/>
        </w:rPr>
      </w:pPr>
      <w:r w:rsidRPr="00277EA7">
        <w:rPr>
          <w:rStyle w:val="FootnoteReference"/>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79367E" w:rsidRPr="00FE581E">
        <w:rPr>
          <w:rFonts w:ascii="Times New Roman" w:hAnsi="Times New Roman" w:cs="Times New Roman"/>
        </w:rPr>
        <w:instrText xml:space="preserve"> ADDIN ZOTERO_ITEM CSL_CITATION {"citationID":"i2VpRiQq","properties":{"formattedCitation":"(Prak 2018, 21)","plainCitation":"(Prak 2018, 21)","noteIndex":1},"citationItems":[{"id":1918,"uris":["http://zotero.org/users/9264098/items/5KY9MT24"],"itemData":{"id":1918,"type":"book","edition":"1","ISBN":"978-1-316-21902-7","note":"DOI: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21"}],"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(Prak 2018, 21)</w:t>
      </w:r>
      <w:r w:rsidRPr="00FE581E">
        <w:rPr>
          <w:rFonts w:ascii="Times New Roman" w:hAnsi="Times New Roman" w:cs="Times New Roman"/>
        </w:rPr>
        <w:fldChar w:fldCharType="end"/>
      </w:r>
    </w:p>
  </w:footnote>
  <w:footnote w:id="2">
    <w:p w14:paraId="168B7880" w14:textId="618FDD4E" w:rsidR="0083011B" w:rsidRPr="00FE581E" w:rsidRDefault="0083011B">
      <w:pPr>
        <w:pStyle w:val="FootnoteText"/>
        <w:rPr>
          <w:rFonts w:ascii="Times New Roman" w:hAnsi="Times New Roman" w:cs="Times New Roman"/>
        </w:rPr>
      </w:pPr>
      <w:r w:rsidRPr="00277EA7">
        <w:rPr>
          <w:rStyle w:val="FootnoteReference"/>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79367E" w:rsidRPr="00FE581E">
        <w:rPr>
          <w:rFonts w:ascii="Times New Roman" w:hAnsi="Times New Roman" w:cs="Times New Roman"/>
        </w:rPr>
        <w:instrText xml:space="preserve"> ADDIN ZOTERO_ITEM CSL_CITATION {"citationID":"DTWSMyAJ","properties":{"formattedCitation":"(Prak 2018, 249)","plainCitation":"(Prak 2018, 249)","noteIndex":2},"citationItems":[{"id":1918,"uris":["http://zotero.org/users/9264098/items/5KY9MT24"],"itemData":{"id":1918,"type":"book","edition":"1","ISBN":"978-1-316-21902-7","note":"DOI: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249"}],"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(Prak 2018, 249)</w:t>
      </w:r>
      <w:r w:rsidRPr="00FE581E">
        <w:rPr>
          <w:rFonts w:ascii="Times New Roman" w:hAnsi="Times New Roman" w:cs="Times New Roman"/>
        </w:rPr>
        <w:fldChar w:fldCharType="end"/>
      </w:r>
    </w:p>
  </w:footnote>
  <w:footnote w:id="3">
    <w:p w14:paraId="5441DFBC" w14:textId="13FB1666" w:rsidR="002C0BB8" w:rsidRPr="00FE581E" w:rsidRDefault="002C0BB8">
      <w:pPr>
        <w:pStyle w:val="FootnoteText"/>
        <w:rPr>
          <w:rFonts w:ascii="Times New Roman" w:hAnsi="Times New Roman" w:cs="Times New Roman"/>
        </w:rPr>
      </w:pPr>
      <w:r w:rsidRPr="00277EA7">
        <w:rPr>
          <w:rStyle w:val="FootnoteReference"/>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{"citationID":"xn6GDNN3","properties":{"formattedCitation":"(Moll-Murata 2008, 214)","plainCitation":"(Moll-Murata 2008, 214)","noteIndex":3},"citationItems":[{"id":1920,"uris":["http://zotero.org/users/9264098/items/KCJ9WBXW"],"itemData":{"id":1920,"type":"article-journal","container-title":"International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Centuries","volume":"53","author":[{"family":"Moll-Murata","given":"Christine"}],"issued":{"date-parts":[["2008",12]]}},"locator":"214"}],"schema":"https://github.com/citation-style-language/schema/raw/master/csl-citation.json"}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(Moll-Murata 2008, 214)</w:t>
      </w:r>
      <w:r w:rsidRPr="00FE581E">
        <w:rPr>
          <w:rFonts w:ascii="Times New Roman" w:hAnsi="Times New Roman" w:cs="Times New Roman"/>
        </w:rPr>
        <w:fldChar w:fldCharType="end"/>
      </w:r>
    </w:p>
  </w:footnote>
  <w:footnote w:id="4">
    <w:p w14:paraId="3C5E168A" w14:textId="3C1DFDEA" w:rsidR="002C0BB8" w:rsidRPr="00FE581E" w:rsidRDefault="002C0BB8">
      <w:pPr>
        <w:pStyle w:val="FootnoteText"/>
        <w:rPr>
          <w:rFonts w:ascii="Times New Roman" w:hAnsi="Times New Roman" w:cs="Times New Roman"/>
        </w:rPr>
      </w:pPr>
      <w:r w:rsidRPr="00277EA7">
        <w:rPr>
          <w:rStyle w:val="FootnoteReference"/>
        </w:rPr>
        <w:footnoteRef/>
      </w:r>
      <w:r w:rsidRPr="00FE581E">
        <w:rPr>
          <w:rFonts w:ascii="Times New Roman" w:hAnsi="Times New Roman" w:cs="Times New Roman"/>
        </w:rPr>
        <w:t xml:space="preserve"> The term </w:t>
      </w:r>
      <w:proofErr w:type="spellStart"/>
      <w:r w:rsidRPr="00BC1B1B">
        <w:rPr>
          <w:rFonts w:ascii="Times New Roman" w:hAnsi="Times New Roman" w:cs="Times New Roman"/>
          <w:i/>
          <w:iCs/>
        </w:rPr>
        <w:t>hanghui</w:t>
      </w:r>
      <w:proofErr w:type="spellEnd"/>
      <w:r w:rsidRPr="00FE581E">
        <w:rPr>
          <w:rFonts w:ascii="Times New Roman" w:hAnsi="Times New Roman" w:cs="Times New Roman"/>
        </w:rPr>
        <w:t xml:space="preserve"> was not used by contemporaries and paints over trade and craft associations</w:t>
      </w:r>
      <w:r w:rsidR="00CE65FC" w:rsidRPr="00FE581E">
        <w:rPr>
          <w:rFonts w:ascii="Times New Roman" w:hAnsi="Times New Roman" w:cs="Times New Roman"/>
        </w:rPr>
        <w:t>. There is a whole terminological issue that Prak ignores.</w:t>
      </w:r>
      <w:r w:rsidR="00220913" w:rsidRPr="00FE581E">
        <w:rPr>
          <w:rFonts w:ascii="Times New Roman" w:hAnsi="Times New Roman" w:cs="Times New Roman"/>
        </w:rPr>
        <w:t xml:space="preserve"> See </w:t>
      </w:r>
      <w:r w:rsidR="00220913" w:rsidRPr="00FE581E">
        <w:rPr>
          <w:rFonts w:ascii="Times New Roman" w:hAnsi="Times New Roman" w:cs="Times New Roman"/>
          <w:i/>
          <w:iCs/>
        </w:rPr>
        <w:t>Moll-</w:t>
      </w:r>
      <w:r w:rsidR="0063365C" w:rsidRPr="00FE581E">
        <w:rPr>
          <w:rFonts w:ascii="Times New Roman" w:hAnsi="Times New Roman" w:cs="Times New Roman"/>
          <w:i/>
          <w:iCs/>
        </w:rPr>
        <w:t>Murata</w:t>
      </w:r>
      <w:r w:rsidR="00220913" w:rsidRPr="00FE581E">
        <w:rPr>
          <w:rFonts w:ascii="Times New Roman" w:hAnsi="Times New Roman" w:cs="Times New Roman"/>
          <w:i/>
          <w:iCs/>
        </w:rPr>
        <w:t xml:space="preserve"> 2008</w:t>
      </w:r>
      <w:r w:rsidR="00220913" w:rsidRPr="00FE581E">
        <w:rPr>
          <w:rFonts w:ascii="Times New Roman" w:hAnsi="Times New Roman" w:cs="Times New Roman"/>
        </w:rPr>
        <w:t xml:space="preserve"> for </w:t>
      </w:r>
      <w:r w:rsidR="0063365C" w:rsidRPr="00FE581E">
        <w:rPr>
          <w:rFonts w:ascii="Times New Roman" w:hAnsi="Times New Roman" w:cs="Times New Roman"/>
        </w:rPr>
        <w:t xml:space="preserve">further discussion. For this essay the term </w:t>
      </w:r>
      <w:proofErr w:type="spellStart"/>
      <w:r w:rsidR="0063365C" w:rsidRPr="00BC1B1B">
        <w:rPr>
          <w:rFonts w:ascii="Times New Roman" w:hAnsi="Times New Roman" w:cs="Times New Roman"/>
          <w:i/>
          <w:iCs/>
        </w:rPr>
        <w:t>hanghui</w:t>
      </w:r>
      <w:proofErr w:type="spellEnd"/>
      <w:r w:rsidR="0063365C" w:rsidRPr="00FE581E">
        <w:rPr>
          <w:rFonts w:ascii="Times New Roman" w:hAnsi="Times New Roman" w:cs="Times New Roman"/>
        </w:rPr>
        <w:t xml:space="preserve"> will be used, </w:t>
      </w:r>
      <w:proofErr w:type="gramStart"/>
      <w:r w:rsidR="0063365C" w:rsidRPr="00FE581E">
        <w:rPr>
          <w:rFonts w:ascii="Times New Roman" w:hAnsi="Times New Roman" w:cs="Times New Roman"/>
        </w:rPr>
        <w:t>taking into account</w:t>
      </w:r>
      <w:proofErr w:type="gramEnd"/>
      <w:r w:rsidR="0063365C" w:rsidRPr="00FE581E">
        <w:rPr>
          <w:rFonts w:ascii="Times New Roman" w:hAnsi="Times New Roman" w:cs="Times New Roman"/>
        </w:rPr>
        <w:t xml:space="preserve"> that variation exists. </w:t>
      </w:r>
    </w:p>
  </w:footnote>
  <w:footnote w:id="5">
    <w:p w14:paraId="5924591D" w14:textId="1981501B" w:rsidR="00DE1629" w:rsidRPr="00FE581E" w:rsidRDefault="00DE1629">
      <w:pPr>
        <w:pStyle w:val="FootnoteText"/>
        <w:rPr>
          <w:rFonts w:ascii="Times New Roman" w:hAnsi="Times New Roman" w:cs="Times New Roman"/>
          <w:lang w:val="es-ES"/>
        </w:rPr>
      </w:pPr>
      <w:r w:rsidRPr="00277EA7">
        <w:rPr>
          <w:rStyle w:val="FootnoteReference"/>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{"citationID":"resjZZRM","properties":{"formattedCitation":"(Moll-Murata 2008, 215)","plainCitation":"(Moll-Murata 2008, 215)","noteIndex":5},"citationItems":[{"id":1920,"uris":["http://zotero.org/users/9264098/items/KCJ9WBXW"],"itemData":{"id":1920,"type":"article-journal","container-title":"International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Centuries","volume":"53","author":[{"family":"Moll-Murata","given":"Christine"}],"issued":{"date-parts":[["2008",12]]}},"locator":"215"}],"schema":"https://github.com/citation-style-language/schema/raw/master/csl-citation.json"}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(Moll-Murata 2008, 215)</w:t>
      </w:r>
      <w:r w:rsidRPr="00FE581E">
        <w:rPr>
          <w:rFonts w:ascii="Times New Roman" w:hAnsi="Times New Roman" w:cs="Times New Roman"/>
        </w:rPr>
        <w:fldChar w:fldCharType="end"/>
      </w:r>
    </w:p>
  </w:footnote>
  <w:footnote w:id="6">
    <w:p w14:paraId="409DEC26" w14:textId="514530F0" w:rsidR="00BE0E1B" w:rsidRPr="00FE581E" w:rsidRDefault="00BE0E1B">
      <w:pPr>
        <w:pStyle w:val="FootnoteText"/>
        <w:rPr>
          <w:rFonts w:ascii="Times New Roman" w:hAnsi="Times New Roman" w:cs="Times New Roman"/>
          <w:lang w:val="es-ES"/>
        </w:rPr>
      </w:pPr>
      <w:r w:rsidRPr="00277EA7">
        <w:rPr>
          <w:rStyle w:val="FootnoteReference"/>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{"citationID":"t0VEGxP4","properties":{"formattedCitation":"(Friedmann 2007, 261)","plainCitation":"(Friedmann 2007, 261)","noteIndex":6},"citationItems":[{"id":1919,"uris":["http://zotero.org/users/9264098/items/4KCWPD5G"],"itemData":{"id":1919,"type":"article-journal","abstract":"Abstract\n              This article is about the small spaces of the city we call ‘places’. Places are shaped by being lived in; they are spaces of encounter where the little histories of the city are played out. They are, of course, also shaped by the state through planning, supervision, ordinances, and so forth. The patterns and rhythms of life in the small spaces of the city are therefore not simply a straightforward projection of civil life. Places are also sites of resistance, contestation, and actions that are often thought to be illegal by the (local) state. After introducing the concept of place, the remainder of this article is a reflection on places and place‐making (but also place‐breaking) in urban China. Because the patterns and rhythms of urban life have continuity, however, my approach to their study was historical. The story told here is roughly divided into four major periods: Imperial China, Republican China, the People’s Republic under Mao Zedong, and the reform period from about 1980 onward. I then return to the concepts of place and place‐making with which I began, summarizing my findings and suggesting some topics for further research.\n            \n            \n              Résumé\n              Cet article traite des petits espaces de la ville qu’on appelle des ‘lieux’. Les lieux sont modelés par la vie qui s’y déroule; ce sont des espaces de rencontre où se jouent les petites histoires d’une ville. Bien sûr, ils sont aussi façonnés par l’Etat, à travers l’aménagement, le contrôle, les règlements, etc. Les modèles et rythmes de vie dans les petits espaces urbains ne sont donc pas une projection pure de la vie civique. Ce sont aussi des scènes de résistance, de contestation et d’actions souvent jugées illégales par les autorités (locales). Après le concept de lieu, l’article présente une réflexion sur les lieux et leur fabrication (ainsi que leur fracture) dans la Chine urbaine. Les modèles et rythmes de la vie urbaine présentant une continuité, l’approche appliquée à leur étude est historique. Le récit rapporté se décompose en quatre grandes périodes: la Chine impériale, la Chine républicaine, la République populaire de Mao Zedong et l’ère réformatrice depuis 1980 environ. L’article revient ensuite sur les concepts de lieux et de fabrication de lieux en résumant les résultats obtenus et en suggérant quelques thèmes de recherche à approfondir.","container-title":"International Journal of Urban and Regional Research","DOI":"10.1111/j.1468-2427.2007.00726.x","ISSN":"0309-1317, 1468-2427","issue":"2","journalAbbreviation":"Int J Urban Regional Res","language":"en","page":"257-279","source":"DOI.org (Crossref)","title":"Reflections on Place and Place‐making in the Cities of China","volume":"31","author":[{"family":"Friedmann","given":"John"}],"issued":{"date-parts":[["2007",6]]}},"locator":"261"}],"schema":"https://github.com/citation-style-language/schema/raw/master/csl-citation.json"}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(Friedmann 2007, 261)</w:t>
      </w:r>
      <w:r w:rsidRPr="00FE581E">
        <w:rPr>
          <w:rFonts w:ascii="Times New Roman" w:hAnsi="Times New Roman" w:cs="Times New Roman"/>
        </w:rPr>
        <w:fldChar w:fldCharType="end"/>
      </w:r>
    </w:p>
  </w:footnote>
  <w:footnote w:id="7">
    <w:p w14:paraId="1AD4439C" w14:textId="3A6AFF40" w:rsidR="002968B8" w:rsidRPr="00FE581E" w:rsidRDefault="002968B8">
      <w:pPr>
        <w:pStyle w:val="FootnoteText"/>
        <w:rPr>
          <w:rFonts w:ascii="Times New Roman" w:hAnsi="Times New Roman" w:cs="Times New Roman"/>
        </w:rPr>
      </w:pPr>
      <w:r w:rsidRPr="00277EA7">
        <w:rPr>
          <w:rStyle w:val="FootnoteReference"/>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79367E" w:rsidRPr="00FE581E">
        <w:rPr>
          <w:rFonts w:ascii="Times New Roman" w:hAnsi="Times New Roman" w:cs="Times New Roman"/>
        </w:rPr>
        <w:instrText xml:space="preserve"> ADDIN ZOTERO_ITEM CSL_CITATION {"citationID":"fEJRFP3h","properties":{"formattedCitation":"(Prak 2018, 109)","plainCitation":"(Prak 2018, 109)","noteIndex":7},"citationItems":[{"id":1918,"uris":["http://zotero.org/users/9264098/items/5KY9MT24"],"itemData":{"id":1918,"type":"book","edition":"1","ISBN":"978-1-316-21902-7","note":"DOI: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(Prak 2018, 109)</w:t>
      </w:r>
      <w:r w:rsidRPr="00FE581E">
        <w:rPr>
          <w:rFonts w:ascii="Times New Roman" w:hAnsi="Times New Roman" w:cs="Times New Roman"/>
        </w:rPr>
        <w:fldChar w:fldCharType="end"/>
      </w:r>
    </w:p>
  </w:footnote>
  <w:footnote w:id="8">
    <w:p w14:paraId="54E70D54" w14:textId="46102941" w:rsidR="002C0BB8" w:rsidRPr="00FE581E" w:rsidRDefault="002C0BB8">
      <w:pPr>
        <w:pStyle w:val="FootnoteText"/>
        <w:rPr>
          <w:rFonts w:ascii="Times New Roman" w:hAnsi="Times New Roman" w:cs="Times New Roman"/>
          <w:lang w:val="nl-NL"/>
        </w:rPr>
      </w:pPr>
      <w:r w:rsidRPr="00277EA7">
        <w:rPr>
          <w:rStyle w:val="FootnoteReference"/>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0094276E" w:rsidRPr="00FE581E">
        <w:rPr>
          <w:rFonts w:ascii="Times New Roman" w:hAnsi="Times New Roman" w:cs="Times New Roman"/>
          <w:lang w:val="nl-NL"/>
        </w:rPr>
        <w:instrText xml:space="preserve"> ADDIN ZOTERO_ITEM CSL_CITATION {"citationID":"pLICr6y5","properties":{"formattedCitation":"(Friedmann 2007, 263)","plainCitation":"(Friedmann 2007, 263)","noteIndex":8},"citationItems":[{"id":1919,"uris":["http://zotero.org/users/9264098/items/4KCWPD5G"],"itemData":{"id":1919,"type":"article-journal","abstract":"Abstract\n              This article is about the small spaces of the city we call ‘places’. Places are shaped by being lived in; they are spaces of encounter where the little histories of the city are played out. They are, of course, also shaped by the state through planning, supervision, ordinances, and so forth. The patterns and rhythms of life in the small spaces of the city are therefore not simply a straightforward projection of civil life. Places are also sites of resistance, contestation, and actions that are often thought to be illegal by the (local) state. After introducing the concept of place, the remainder of this article is a reflection on places and place‐making (but also place‐breaking) in urban China. Because the patterns and rhythms of urban life have continuity, however, my approach to their study was historical. The story told here is roughly divided into four major periods: Imperial China, Republican China, the People’s Republic under Mao Zedong, and the reform period from about 1980 onward. I then return to the concepts of place and place‐making with which I began, summarizing my findings and suggesting some topics for further research.\n            \n            \n              Résumé\n              Cet article traite des petits espaces de la ville qu’on appelle des ‘lieux’. Les lieux sont modelés par la vie qui s’y déroule; ce sont des espaces de rencontre où se jouent les petites histoires d’une ville. Bien sûr, ils sont aussi façonnés par l’Etat, à travers l’aménagement, le contrôle, les règlements, etc. Les modèles et rythmes de vie dans les petits espaces urbains ne sont donc pas une projection pure de la vie civique. Ce sont aussi des scènes de résistance, de contestation et d’actions souvent jugées illégales par les autorités (locales). Après le concept de lieu, l’article présente une réflexion sur les lieux et leur fabrication (ainsi que leur fracture) dans la Chine urbaine. Les modèles et rythmes de la vie urbaine présentant une continuité, l’approche appliquée à leur étude est historique. Le récit rapporté se décompose en quatre grandes périodes: la Chine impériale, la Chine républicaine, la République populaire de Mao Zedong et l’ère réformatrice depuis 1980 environ. L’article revient ensuite sur les concepts de lieux et de fabrication de lieux en résumant les résultats obtenus et en suggérant quelques thèmes de recherche à approfondir.","container-title":"International Journal of Urban and Regional Research","DOI":"10.1111/j.1468-2427.2007.00726.x","ISSN":"0309-1317, 1468-2427","issue":"2","journalAbbreviation":"Int J Urban Regional Res","language":"en","page":"257-279","source":"DOI.org (Crossref)","title":"Reflections on Place and Place‐making in the Cities of China","volume":"31","author":[{"family":"Friedmann","given":"John"}],"issued":{"date-parts":[["2007",6]]}},"locator":"263"}],"schema":"https://github.com/citation-style-language/schema/raw/master/csl-citation.json"}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(Friedmann 2007, 263)</w:t>
      </w:r>
      <w:r w:rsidRPr="00FE581E">
        <w:rPr>
          <w:rFonts w:ascii="Times New Roman" w:hAnsi="Times New Roman" w:cs="Times New Roman"/>
        </w:rPr>
        <w:fldChar w:fldCharType="end"/>
      </w:r>
    </w:p>
  </w:footnote>
  <w:footnote w:id="9">
    <w:p w14:paraId="48861268" w14:textId="475ECD17" w:rsidR="00A65FCD" w:rsidRPr="00FE581E" w:rsidRDefault="00A65FCD">
      <w:pPr>
        <w:pStyle w:val="FootnoteText"/>
        <w:rPr>
          <w:rFonts w:ascii="Times New Roman" w:hAnsi="Times New Roman" w:cs="Times New Roman"/>
          <w:lang w:val="es-ES"/>
        </w:rPr>
      </w:pPr>
      <w:r w:rsidRPr="00277EA7">
        <w:rPr>
          <w:rStyle w:val="FootnoteReference"/>
        </w:rPr>
        <w:footnoteRef/>
      </w:r>
      <w:r w:rsidRPr="00FE581E">
        <w:rPr>
          <w:rFonts w:ascii="Times New Roman" w:hAnsi="Times New Roman" w:cs="Times New Roman"/>
        </w:rPr>
        <w:t xml:space="preserve"> </w:t>
      </w:r>
      <w:r w:rsidRPr="00FE581E">
        <w:rPr>
          <w:rFonts w:ascii="Times New Roman" w:hAnsi="Times New Roman" w:cs="Times New Roman"/>
        </w:rPr>
        <w:fldChar w:fldCharType="begin"/>
      </w:r>
      <w:r w:rsidR="0094276E" w:rsidRPr="00FE581E">
        <w:rPr>
          <w:rFonts w:ascii="Times New Roman" w:hAnsi="Times New Roman" w:cs="Times New Roman"/>
        </w:rPr>
        <w:instrText xml:space="preserve"> ADDIN ZOTERO_ITEM CSL_CITATION {"citationID":"3FtIdXlX","properties":{"formattedCitation":"(Kocka 2009, 17)","plainCitation":"(Kocka 2009, 17)","noteIndex":9},"citationItems":[{"id":1855,"uris":["http://zotero.org/users/9264098/items/2MH4MGLC"],"itemData":{"id":1855,"type":"article-journal","abstract":"Abstract\n              While it is necessary to distinguish between analytical and normative statements, the quest for this distinction – and for value-free science – is itself normatively based. Comparative approaches can serve important descriptive and analytical functions. They reduce the danger of methodological nationalism and intellectual parochialism in historical studies. The comparative approach allows to find an acceptable middle ground between the acceptance of basic differences and universalist claims. Method and ethos interact. But a-symmetric comparison shows that scientific productivity and political incorrectness can go together. For this, Max Weber's comparative approach can serve as an example.","container-title":"East Central Europe","DOI":"10.1163/187633009X411430","ISSN":"0094-3037, 1876-3308","issue":"1","journalAbbreviation":"East Cent Eur","page":"12-19","source":"DOI.org (Crossref)","title":"Comparative History: Methodology and Ethos","title-short":"Comparative History","volume":"36","author":[{"family":"Kocka","given":"Jürgen"}],"issued":{"date-parts":[["2009"]]}},"locator":"17"}],"schema":"https://github.com/citation-style-language/schema/raw/master/csl-citation.json"}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rPr>
        <w:t>(Kocka 2009, 17)</w:t>
      </w:r>
      <w:r w:rsidRPr="00FE581E">
        <w:rPr>
          <w:rFonts w:ascii="Times New Roman" w:hAnsi="Times New Roman" w:cs="Times New Roman"/>
        </w:rPr>
        <w:fldChar w:fldCharType="end"/>
      </w:r>
    </w:p>
  </w:footnote>
  <w:footnote w:id="10">
    <w:p w14:paraId="6043D030" w14:textId="5DA7AEAE" w:rsidR="009913A6" w:rsidRPr="00FE581E" w:rsidRDefault="009913A6" w:rsidP="009913A6">
      <w:pPr>
        <w:pStyle w:val="FootnoteText"/>
        <w:rPr>
          <w:rFonts w:ascii="Times New Roman" w:hAnsi="Times New Roman" w:cs="Times New Roman"/>
          <w:lang w:val="nl-NL"/>
        </w:rPr>
      </w:pPr>
      <w:r w:rsidRPr="00277EA7">
        <w:rPr>
          <w:rStyle w:val="FootnoteReference"/>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0079367E" w:rsidRPr="00FE581E">
        <w:rPr>
          <w:rFonts w:ascii="Times New Roman" w:hAnsi="Times New Roman" w:cs="Times New Roman"/>
          <w:lang w:val="nl-NL"/>
        </w:rPr>
        <w:instrText xml:space="preserve"> ADDIN ZOTERO_ITEM CSL_CITATION {"citationID":"u2QRctZ5","properties":{"formattedCitation":"(Prak 2018, 33)","plainCitation":"(Prak 2018, 33)","noteIndex":10},"citationItems":[{"id":1918,"uris":["http://zotero.org/users/9264098/items/5KY9MT24"],"itemData":{"id":1918,"type":"book","edition":"1","ISBN":"978-1-316-21902-7","note":"DOI: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33"}],"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(Prak 2018, 33)</w:t>
      </w:r>
      <w:r w:rsidRPr="00FE581E">
        <w:rPr>
          <w:rFonts w:ascii="Times New Roman" w:hAnsi="Times New Roman" w:cs="Times New Roman"/>
        </w:rPr>
        <w:fldChar w:fldCharType="end"/>
      </w:r>
    </w:p>
  </w:footnote>
  <w:footnote w:id="11">
    <w:p w14:paraId="33CDFE13" w14:textId="3EFC8EFE" w:rsidR="009913A6" w:rsidRPr="00FE581E" w:rsidRDefault="009913A6">
      <w:pPr>
        <w:pStyle w:val="FootnoteText"/>
        <w:rPr>
          <w:rFonts w:ascii="Times New Roman" w:hAnsi="Times New Roman" w:cs="Times New Roman"/>
          <w:lang w:val="nl-NL"/>
        </w:rPr>
      </w:pPr>
      <w:r w:rsidRPr="00277EA7">
        <w:rPr>
          <w:rStyle w:val="FootnoteReference"/>
        </w:rPr>
        <w:footnoteRef/>
      </w:r>
      <w:r w:rsidRPr="00FE581E">
        <w:rPr>
          <w:rFonts w:ascii="Times New Roman" w:hAnsi="Times New Roman" w:cs="Times New Roman"/>
          <w:lang w:val="nl-NL"/>
        </w:rPr>
        <w:t xml:space="preserve"> </w:t>
      </w:r>
      <w:r w:rsidRPr="00FE581E">
        <w:rPr>
          <w:rFonts w:ascii="Times New Roman" w:hAnsi="Times New Roman" w:cs="Times New Roman"/>
          <w:lang w:val="nl-NL"/>
        </w:rPr>
        <w:t xml:space="preserve">See </w:t>
      </w:r>
      <w:r w:rsidRPr="00FE581E">
        <w:rPr>
          <w:rFonts w:ascii="Times New Roman" w:hAnsi="Times New Roman" w:cs="Times New Roman"/>
        </w:rPr>
        <w:fldChar w:fldCharType="begin"/>
      </w:r>
      <w:r w:rsidR="0079367E" w:rsidRPr="00FE581E">
        <w:rPr>
          <w:rFonts w:ascii="Times New Roman" w:hAnsi="Times New Roman" w:cs="Times New Roman"/>
          <w:lang w:val="nl-NL"/>
        </w:rPr>
        <w:instrText xml:space="preserve"> ADDIN ZOTERO_ITEM CSL_CITATION {"citationID":"Lim5h51t","properties":{"formattedCitation":"(Prak 2018, 87)","plainCitation":"(Prak 2018, 87)","noteIndex":11},"citationItems":[{"id":1918,"uris":["http://zotero.org/users/9264098/items/5KY9MT24"],"itemData":{"id":1918,"type":"book","edition":"1","ISBN":"978-1-316-21902-7","note":"DOI: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87"}],"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(Prak 2018, 87)</w:t>
      </w:r>
      <w:r w:rsidRPr="00FE581E">
        <w:rPr>
          <w:rFonts w:ascii="Times New Roman" w:hAnsi="Times New Roman" w:cs="Times New Roman"/>
        </w:rPr>
        <w:fldChar w:fldCharType="end"/>
      </w:r>
      <w:r w:rsidRPr="00FE581E">
        <w:rPr>
          <w:rFonts w:ascii="Times New Roman" w:hAnsi="Times New Roman" w:cs="Times New Roman"/>
          <w:lang w:val="nl-NL"/>
        </w:rPr>
        <w:t xml:space="preserve"> </w:t>
      </w:r>
    </w:p>
  </w:footnote>
  <w:footnote w:id="12">
    <w:p w14:paraId="5A1611B5" w14:textId="0CBAD8DD" w:rsidR="000A6936" w:rsidRPr="00FE581E" w:rsidRDefault="000A6936">
      <w:pPr>
        <w:pStyle w:val="FootnoteText"/>
        <w:rPr>
          <w:rFonts w:ascii="Times New Roman" w:hAnsi="Times New Roman" w:cs="Times New Roman"/>
          <w:lang w:val="nl-NL"/>
        </w:rPr>
      </w:pPr>
      <w:r w:rsidRPr="00277EA7">
        <w:rPr>
          <w:rStyle w:val="FootnoteReference"/>
        </w:rPr>
        <w:footnoteRef/>
      </w:r>
      <w:r w:rsidRPr="00FE581E">
        <w:rPr>
          <w:rFonts w:ascii="Times New Roman" w:hAnsi="Times New Roman" w:cs="Times New Roman"/>
          <w:lang w:val="nl-NL"/>
        </w:rPr>
        <w:t xml:space="preserve"> </w:t>
      </w:r>
      <w:r w:rsidR="00FE581E" w:rsidRPr="00FE581E">
        <w:rPr>
          <w:rFonts w:ascii="Times New Roman" w:hAnsi="Times New Roman" w:cs="Times New Roman"/>
        </w:rPr>
        <w:fldChar w:fldCharType="begin"/>
      </w:r>
      <w:r w:rsidR="00FE581E" w:rsidRPr="00FE581E">
        <w:rPr>
          <w:rFonts w:ascii="Times New Roman" w:hAnsi="Times New Roman" w:cs="Times New Roman"/>
          <w:lang w:val="nl-NL"/>
        </w:rPr>
        <w:instrText xml:space="preserve"> ADDIN ZOTERO_ITEM CSL_CITATION {"citationID":"WTIGGXhr","properties":{"formattedCitation":"(Prak 2018, 28)","plainCitation":"(Prak 2018, 28)","noteIndex":12},"citationItems":[{"id":1918,"uris":["http://zotero.org/users/9264098/items/5KY9MT24"],"itemData":{"id":1918,"type":"book","edition":"1","ISBN":"978-1-316-21902-7","note":"DOI: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28"}],"schema":"https://github.com/citation-style-language/schema/raw/master/csl-citation.json"} </w:instrText>
      </w:r>
      <w:r w:rsidR="00FE581E" w:rsidRPr="00FE581E">
        <w:rPr>
          <w:rFonts w:ascii="Times New Roman" w:hAnsi="Times New Roman" w:cs="Times New Roman"/>
        </w:rPr>
        <w:fldChar w:fldCharType="separate"/>
      </w:r>
      <w:r w:rsidR="00FE581E" w:rsidRPr="00FE581E">
        <w:rPr>
          <w:rFonts w:ascii="Times New Roman" w:hAnsi="Times New Roman" w:cs="Times New Roman"/>
          <w:lang w:val="nl-NL"/>
        </w:rPr>
        <w:t xml:space="preserve">(Prak </w:t>
      </w:r>
      <w:r w:rsidR="00FE581E" w:rsidRPr="00FE581E">
        <w:rPr>
          <w:rFonts w:ascii="Times New Roman" w:hAnsi="Times New Roman" w:cs="Times New Roman"/>
          <w:lang w:val="nl-NL"/>
        </w:rPr>
        <w:t>2018, 28)</w:t>
      </w:r>
      <w:r w:rsidR="00FE581E" w:rsidRPr="00FE581E">
        <w:rPr>
          <w:rFonts w:ascii="Times New Roman" w:hAnsi="Times New Roman" w:cs="Times New Roman"/>
        </w:rPr>
        <w:fldChar w:fldCharType="end"/>
      </w:r>
    </w:p>
  </w:footnote>
  <w:footnote w:id="13">
    <w:p w14:paraId="549E4975" w14:textId="29295B79" w:rsidR="0094276E" w:rsidRPr="00FE581E" w:rsidRDefault="0094276E">
      <w:pPr>
        <w:pStyle w:val="FootnoteText"/>
        <w:rPr>
          <w:rFonts w:ascii="Times New Roman" w:hAnsi="Times New Roman" w:cs="Times New Roman"/>
          <w:lang w:val="nl-NL"/>
        </w:rPr>
      </w:pPr>
      <w:r w:rsidRPr="00277EA7">
        <w:rPr>
          <w:rStyle w:val="FootnoteReference"/>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0079367E" w:rsidRPr="00FE581E">
        <w:rPr>
          <w:rFonts w:ascii="Times New Roman" w:hAnsi="Times New Roman" w:cs="Times New Roman"/>
          <w:lang w:val="nl-NL"/>
        </w:rPr>
        <w:instrText xml:space="preserve"> ADDIN ZOTERO_ITEM CSL_CITATION {"citationID":"8ONbw0SK","properties":{"formattedCitation":"(Prak 2018, 15)","plainCitation":"(Prak 2018, 15)","noteIndex":12},"citationItems":[{"id":1918,"uris":["http://zotero.org/users/9264098/items/5KY9MT24"],"itemData":{"id":1918,"type":"book","edition":"1","ISBN":"978-1-316-21902-7","note":"DOI: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15"}],"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 xml:space="preserve">(Prak </w:t>
      </w:r>
      <w:r w:rsidRPr="00FE581E">
        <w:rPr>
          <w:rFonts w:ascii="Times New Roman" w:hAnsi="Times New Roman" w:cs="Times New Roman"/>
          <w:lang w:val="nl-NL"/>
        </w:rPr>
        <w:t>2018, 15)</w:t>
      </w:r>
      <w:r w:rsidRPr="00FE581E">
        <w:rPr>
          <w:rFonts w:ascii="Times New Roman" w:hAnsi="Times New Roman" w:cs="Times New Roman"/>
        </w:rPr>
        <w:fldChar w:fldCharType="end"/>
      </w:r>
    </w:p>
  </w:footnote>
  <w:footnote w:id="14">
    <w:p w14:paraId="479DF1D0" w14:textId="324327D5" w:rsidR="00B26BE6" w:rsidRPr="00FE581E" w:rsidRDefault="00B26BE6">
      <w:pPr>
        <w:pStyle w:val="FootnoteText"/>
        <w:rPr>
          <w:rFonts w:ascii="Times New Roman" w:hAnsi="Times New Roman" w:cs="Times New Roman"/>
          <w:lang w:val="nl-NL"/>
        </w:rPr>
      </w:pPr>
      <w:r w:rsidRPr="00277EA7">
        <w:rPr>
          <w:rStyle w:val="FootnoteReference"/>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Pr="00FE581E">
        <w:rPr>
          <w:rFonts w:ascii="Times New Roman" w:hAnsi="Times New Roman" w:cs="Times New Roman"/>
          <w:lang w:val="nl-NL"/>
        </w:rPr>
        <w:instrText xml:space="preserve"> ADDIN ZOTERO_ITEM CSL_CITATION {"citationID":"AkrDw07U","properties":{"formattedCitation":"(Berger 2003, 16)","plainCitation":"(Berger 2003, 16)","noteIndex":13},"citationItems":[{"id":1818,"uris":["http://zotero.org/users/9264098/items/CALIBYQD"],"itemData":{"id":1818,"type":"chapter","collection-title":"Writing History","container-title":"Writing History: Theory and Practice","edition":"1st","ISBN":"0-340-76176-8","publisher":"Hodder Arnold","title":"Comparative history","author":[{"family":"Berger","given":"Stefan"}],"editor":[{"family":"Berger","given":"Stefan"},{"family":"Feldner","given":"Heiko"},{"family":"Passmore","given":"Kevin"}],"issued":{"date-parts":[["2003"]]},"citation-key":"bergerComparativeHistory2003"},"locator":"16"}],"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 xml:space="preserve">(Berger </w:t>
      </w:r>
      <w:r w:rsidRPr="00FE581E">
        <w:rPr>
          <w:rFonts w:ascii="Times New Roman" w:hAnsi="Times New Roman" w:cs="Times New Roman"/>
          <w:lang w:val="nl-NL"/>
        </w:rPr>
        <w:t>2003, 16)</w:t>
      </w:r>
      <w:r w:rsidRPr="00FE581E">
        <w:rPr>
          <w:rFonts w:ascii="Times New Roman" w:hAnsi="Times New Roman" w:cs="Times New Roman"/>
        </w:rPr>
        <w:fldChar w:fldCharType="end"/>
      </w:r>
    </w:p>
  </w:footnote>
  <w:footnote w:id="15">
    <w:p w14:paraId="714816A0" w14:textId="1147BD1C" w:rsidR="0079367E" w:rsidRPr="00FE581E" w:rsidRDefault="0079367E">
      <w:pPr>
        <w:pStyle w:val="FootnoteText"/>
        <w:rPr>
          <w:rFonts w:ascii="Times New Roman" w:hAnsi="Times New Roman" w:cs="Times New Roman"/>
          <w:lang w:val="nl-NL"/>
        </w:rPr>
      </w:pPr>
      <w:r w:rsidRPr="00277EA7">
        <w:rPr>
          <w:rStyle w:val="FootnoteReference"/>
        </w:rPr>
        <w:footnoteRef/>
      </w:r>
      <w:r w:rsidRPr="00FE581E">
        <w:rPr>
          <w:rFonts w:ascii="Times New Roman" w:hAnsi="Times New Roman" w:cs="Times New Roman"/>
          <w:lang w:val="nl-NL"/>
        </w:rPr>
        <w:t xml:space="preserve"> </w:t>
      </w:r>
      <w:r w:rsidRPr="00FE581E">
        <w:rPr>
          <w:rFonts w:ascii="Times New Roman" w:hAnsi="Times New Roman" w:cs="Times New Roman"/>
        </w:rPr>
        <w:fldChar w:fldCharType="begin"/>
      </w:r>
      <w:r w:rsidRPr="00FE581E">
        <w:rPr>
          <w:rFonts w:ascii="Times New Roman" w:hAnsi="Times New Roman" w:cs="Times New Roman"/>
          <w:lang w:val="nl-NL"/>
        </w:rPr>
        <w:instrText xml:space="preserve"> ADDIN ZOTERO_ITEM CSL_CITATION {"citationID":"HDmmrc2c","properties":{"formattedCitation":"(Prak 2018, 161)","plainCitation":"(Prak 2018, 161)","noteIndex":14},"citationItems":[{"id":1918,"uris":["http://zotero.org/users/9264098/items/5KY9MT24"],"itemData":{"id":1918,"type":"book","edition":"1","ISBN":"978-1-316-21902-7","note":"DOI: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161","label":"page"}],"schema":"https://github.com/citation-style-language/schema/raw/master/csl-citation.json"} </w:instrText>
      </w:r>
      <w:r w:rsidRPr="00FE581E">
        <w:rPr>
          <w:rFonts w:ascii="Times New Roman" w:hAnsi="Times New Roman" w:cs="Times New Roman"/>
        </w:rPr>
        <w:fldChar w:fldCharType="separate"/>
      </w:r>
      <w:r w:rsidRPr="00FE581E">
        <w:rPr>
          <w:rFonts w:ascii="Times New Roman" w:hAnsi="Times New Roman" w:cs="Times New Roman"/>
          <w:lang w:val="nl-NL"/>
        </w:rPr>
        <w:t xml:space="preserve">(Prak </w:t>
      </w:r>
      <w:r w:rsidRPr="00FE581E">
        <w:rPr>
          <w:rFonts w:ascii="Times New Roman" w:hAnsi="Times New Roman" w:cs="Times New Roman"/>
          <w:lang w:val="nl-NL"/>
        </w:rPr>
        <w:t>2018, 161)</w:t>
      </w:r>
      <w:r w:rsidRPr="00FE581E">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006"/>
    <w:multiLevelType w:val="hybridMultilevel"/>
    <w:tmpl w:val="E658794E"/>
    <w:lvl w:ilvl="0" w:tplc="CBA29DE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363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A8"/>
    <w:rsid w:val="00013E48"/>
    <w:rsid w:val="000312A3"/>
    <w:rsid w:val="0003142E"/>
    <w:rsid w:val="00035858"/>
    <w:rsid w:val="00050E07"/>
    <w:rsid w:val="00082D1E"/>
    <w:rsid w:val="000A6936"/>
    <w:rsid w:val="000F1B82"/>
    <w:rsid w:val="001115B2"/>
    <w:rsid w:val="001D3AAE"/>
    <w:rsid w:val="001F4007"/>
    <w:rsid w:val="00210101"/>
    <w:rsid w:val="00220913"/>
    <w:rsid w:val="0023634B"/>
    <w:rsid w:val="00277EA7"/>
    <w:rsid w:val="002968B8"/>
    <w:rsid w:val="002C0BB8"/>
    <w:rsid w:val="002D3D41"/>
    <w:rsid w:val="002D5EF5"/>
    <w:rsid w:val="00375504"/>
    <w:rsid w:val="003821EB"/>
    <w:rsid w:val="003B2DF2"/>
    <w:rsid w:val="003B76A4"/>
    <w:rsid w:val="0042722A"/>
    <w:rsid w:val="00455BA8"/>
    <w:rsid w:val="004B4DB1"/>
    <w:rsid w:val="00533A38"/>
    <w:rsid w:val="00570C57"/>
    <w:rsid w:val="0059227B"/>
    <w:rsid w:val="005C0AB0"/>
    <w:rsid w:val="0063365C"/>
    <w:rsid w:val="006447ED"/>
    <w:rsid w:val="006460A9"/>
    <w:rsid w:val="00687067"/>
    <w:rsid w:val="006D05F0"/>
    <w:rsid w:val="00720487"/>
    <w:rsid w:val="00781DF6"/>
    <w:rsid w:val="0079367E"/>
    <w:rsid w:val="0083011B"/>
    <w:rsid w:val="00892100"/>
    <w:rsid w:val="0094276E"/>
    <w:rsid w:val="00952828"/>
    <w:rsid w:val="009913A6"/>
    <w:rsid w:val="009D7321"/>
    <w:rsid w:val="00A56D09"/>
    <w:rsid w:val="00A65FCD"/>
    <w:rsid w:val="00AC4B84"/>
    <w:rsid w:val="00AD4DBE"/>
    <w:rsid w:val="00B013EA"/>
    <w:rsid w:val="00B259B4"/>
    <w:rsid w:val="00B26BE6"/>
    <w:rsid w:val="00B44C87"/>
    <w:rsid w:val="00BC1B1B"/>
    <w:rsid w:val="00BE0E1B"/>
    <w:rsid w:val="00C40E36"/>
    <w:rsid w:val="00C83B32"/>
    <w:rsid w:val="00CB5D84"/>
    <w:rsid w:val="00CE65FC"/>
    <w:rsid w:val="00DC4B1C"/>
    <w:rsid w:val="00DE1629"/>
    <w:rsid w:val="00DE4132"/>
    <w:rsid w:val="00E35412"/>
    <w:rsid w:val="00EC4A25"/>
    <w:rsid w:val="00F43253"/>
    <w:rsid w:val="00F96862"/>
    <w:rsid w:val="00FE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F5EB"/>
  <w15:chartTrackingRefBased/>
  <w15:docId w15:val="{3192A91A-4601-4AA9-A606-5D15D842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BA8"/>
    <w:rPr>
      <w:rFonts w:eastAsiaTheme="majorEastAsia" w:cstheme="majorBidi"/>
      <w:color w:val="272727" w:themeColor="text1" w:themeTint="D8"/>
    </w:rPr>
  </w:style>
  <w:style w:type="paragraph" w:styleId="Title">
    <w:name w:val="Title"/>
    <w:basedOn w:val="Normal"/>
    <w:next w:val="Normal"/>
    <w:link w:val="TitleChar"/>
    <w:uiPriority w:val="10"/>
    <w:qFormat/>
    <w:rsid w:val="00455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BA8"/>
    <w:pPr>
      <w:spacing w:before="160"/>
      <w:jc w:val="center"/>
    </w:pPr>
    <w:rPr>
      <w:i/>
      <w:iCs/>
      <w:color w:val="404040" w:themeColor="text1" w:themeTint="BF"/>
    </w:rPr>
  </w:style>
  <w:style w:type="character" w:customStyle="1" w:styleId="QuoteChar">
    <w:name w:val="Quote Char"/>
    <w:basedOn w:val="DefaultParagraphFont"/>
    <w:link w:val="Quote"/>
    <w:uiPriority w:val="29"/>
    <w:rsid w:val="00455BA8"/>
    <w:rPr>
      <w:i/>
      <w:iCs/>
      <w:color w:val="404040" w:themeColor="text1" w:themeTint="BF"/>
    </w:rPr>
  </w:style>
  <w:style w:type="paragraph" w:styleId="ListParagraph">
    <w:name w:val="List Paragraph"/>
    <w:basedOn w:val="Normal"/>
    <w:uiPriority w:val="34"/>
    <w:qFormat/>
    <w:rsid w:val="00455BA8"/>
    <w:pPr>
      <w:ind w:left="720"/>
      <w:contextualSpacing/>
    </w:pPr>
  </w:style>
  <w:style w:type="character" w:styleId="IntenseEmphasis">
    <w:name w:val="Intense Emphasis"/>
    <w:basedOn w:val="DefaultParagraphFont"/>
    <w:uiPriority w:val="21"/>
    <w:qFormat/>
    <w:rsid w:val="00455BA8"/>
    <w:rPr>
      <w:i/>
      <w:iCs/>
      <w:color w:val="0F4761" w:themeColor="accent1" w:themeShade="BF"/>
    </w:rPr>
  </w:style>
  <w:style w:type="paragraph" w:styleId="IntenseQuote">
    <w:name w:val="Intense Quote"/>
    <w:basedOn w:val="Normal"/>
    <w:next w:val="Normal"/>
    <w:link w:val="IntenseQuoteChar"/>
    <w:uiPriority w:val="30"/>
    <w:qFormat/>
    <w:rsid w:val="00455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BA8"/>
    <w:rPr>
      <w:i/>
      <w:iCs/>
      <w:color w:val="0F4761" w:themeColor="accent1" w:themeShade="BF"/>
    </w:rPr>
  </w:style>
  <w:style w:type="character" w:styleId="IntenseReference">
    <w:name w:val="Intense Reference"/>
    <w:basedOn w:val="DefaultParagraphFont"/>
    <w:uiPriority w:val="32"/>
    <w:qFormat/>
    <w:rsid w:val="00455BA8"/>
    <w:rPr>
      <w:b/>
      <w:bCs/>
      <w:smallCaps/>
      <w:color w:val="0F4761" w:themeColor="accent1" w:themeShade="BF"/>
      <w:spacing w:val="5"/>
    </w:rPr>
  </w:style>
  <w:style w:type="paragraph" w:styleId="FootnoteText">
    <w:name w:val="footnote text"/>
    <w:basedOn w:val="Normal"/>
    <w:link w:val="FootnoteTextChar"/>
    <w:uiPriority w:val="99"/>
    <w:semiHidden/>
    <w:unhideWhenUsed/>
    <w:rsid w:val="00455B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BA8"/>
    <w:rPr>
      <w:sz w:val="20"/>
      <w:szCs w:val="20"/>
    </w:rPr>
  </w:style>
  <w:style w:type="character" w:styleId="FootnoteReference">
    <w:name w:val="footnote reference"/>
    <w:basedOn w:val="DefaultParagraphFont"/>
    <w:uiPriority w:val="99"/>
    <w:unhideWhenUsed/>
    <w:rsid w:val="00455BA8"/>
    <w:rPr>
      <w:vertAlign w:val="superscript"/>
    </w:rPr>
  </w:style>
  <w:style w:type="character" w:styleId="CommentReference">
    <w:name w:val="annotation reference"/>
    <w:basedOn w:val="DefaultParagraphFont"/>
    <w:uiPriority w:val="99"/>
    <w:semiHidden/>
    <w:unhideWhenUsed/>
    <w:rsid w:val="009913A6"/>
    <w:rPr>
      <w:sz w:val="16"/>
      <w:szCs w:val="16"/>
    </w:rPr>
  </w:style>
  <w:style w:type="paragraph" w:styleId="CommentText">
    <w:name w:val="annotation text"/>
    <w:basedOn w:val="Normal"/>
    <w:link w:val="CommentTextChar"/>
    <w:uiPriority w:val="99"/>
    <w:unhideWhenUsed/>
    <w:rsid w:val="009913A6"/>
    <w:pPr>
      <w:spacing w:line="240" w:lineRule="auto"/>
    </w:pPr>
    <w:rPr>
      <w:sz w:val="20"/>
      <w:szCs w:val="20"/>
    </w:rPr>
  </w:style>
  <w:style w:type="character" w:customStyle="1" w:styleId="CommentTextChar">
    <w:name w:val="Comment Text Char"/>
    <w:basedOn w:val="DefaultParagraphFont"/>
    <w:link w:val="CommentText"/>
    <w:uiPriority w:val="99"/>
    <w:rsid w:val="009913A6"/>
    <w:rPr>
      <w:sz w:val="20"/>
      <w:szCs w:val="20"/>
    </w:rPr>
  </w:style>
  <w:style w:type="paragraph" w:styleId="CommentSubject">
    <w:name w:val="annotation subject"/>
    <w:basedOn w:val="CommentText"/>
    <w:next w:val="CommentText"/>
    <w:link w:val="CommentSubjectChar"/>
    <w:uiPriority w:val="99"/>
    <w:semiHidden/>
    <w:unhideWhenUsed/>
    <w:rsid w:val="009913A6"/>
    <w:rPr>
      <w:b/>
      <w:bCs/>
    </w:rPr>
  </w:style>
  <w:style w:type="character" w:customStyle="1" w:styleId="CommentSubjectChar">
    <w:name w:val="Comment Subject Char"/>
    <w:basedOn w:val="CommentTextChar"/>
    <w:link w:val="CommentSubject"/>
    <w:uiPriority w:val="99"/>
    <w:semiHidden/>
    <w:rsid w:val="009913A6"/>
    <w:rPr>
      <w:b/>
      <w:bCs/>
      <w:sz w:val="20"/>
      <w:szCs w:val="20"/>
    </w:rPr>
  </w:style>
  <w:style w:type="character" w:styleId="Hyperlink">
    <w:name w:val="Hyperlink"/>
    <w:basedOn w:val="DefaultParagraphFont"/>
    <w:uiPriority w:val="99"/>
    <w:unhideWhenUsed/>
    <w:rsid w:val="001F4007"/>
    <w:rPr>
      <w:color w:val="467886" w:themeColor="hyperlink"/>
      <w:u w:val="single"/>
    </w:rPr>
  </w:style>
  <w:style w:type="character" w:styleId="UnresolvedMention">
    <w:name w:val="Unresolved Mention"/>
    <w:basedOn w:val="DefaultParagraphFont"/>
    <w:uiPriority w:val="99"/>
    <w:semiHidden/>
    <w:unhideWhenUsed/>
    <w:rsid w:val="001F4007"/>
    <w:rPr>
      <w:color w:val="605E5C"/>
      <w:shd w:val="clear" w:color="auto" w:fill="E1DFDD"/>
    </w:rPr>
  </w:style>
  <w:style w:type="paragraph" w:styleId="Bibliography">
    <w:name w:val="Bibliography"/>
    <w:basedOn w:val="Normal"/>
    <w:next w:val="Normal"/>
    <w:uiPriority w:val="37"/>
    <w:unhideWhenUsed/>
    <w:rsid w:val="00FE581E"/>
    <w:pPr>
      <w:spacing w:after="0" w:line="240" w:lineRule="auto"/>
      <w:ind w:left="720" w:hanging="720"/>
    </w:pPr>
  </w:style>
  <w:style w:type="character" w:styleId="EndnoteReference">
    <w:name w:val="endnote reference"/>
    <w:basedOn w:val="DefaultParagraphFont"/>
    <w:uiPriority w:val="99"/>
    <w:semiHidden/>
    <w:unhideWhenUsed/>
    <w:rsid w:val="00277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15488">
      <w:bodyDiv w:val="1"/>
      <w:marLeft w:val="0"/>
      <w:marRight w:val="0"/>
      <w:marTop w:val="0"/>
      <w:marBottom w:val="0"/>
      <w:divBdr>
        <w:top w:val="none" w:sz="0" w:space="0" w:color="auto"/>
        <w:left w:val="none" w:sz="0" w:space="0" w:color="auto"/>
        <w:bottom w:val="none" w:sz="0" w:space="0" w:color="auto"/>
        <w:right w:val="none" w:sz="0" w:space="0" w:color="auto"/>
      </w:divBdr>
      <w:divsChild>
        <w:div w:id="501161364">
          <w:marLeft w:val="480"/>
          <w:marRight w:val="0"/>
          <w:marTop w:val="0"/>
          <w:marBottom w:val="0"/>
          <w:divBdr>
            <w:top w:val="none" w:sz="0" w:space="0" w:color="auto"/>
            <w:left w:val="none" w:sz="0" w:space="0" w:color="auto"/>
            <w:bottom w:val="none" w:sz="0" w:space="0" w:color="auto"/>
            <w:right w:val="none" w:sz="0" w:space="0" w:color="auto"/>
          </w:divBdr>
          <w:divsChild>
            <w:div w:id="6688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3525">
      <w:bodyDiv w:val="1"/>
      <w:marLeft w:val="0"/>
      <w:marRight w:val="0"/>
      <w:marTop w:val="0"/>
      <w:marBottom w:val="0"/>
      <w:divBdr>
        <w:top w:val="none" w:sz="0" w:space="0" w:color="auto"/>
        <w:left w:val="none" w:sz="0" w:space="0" w:color="auto"/>
        <w:bottom w:val="none" w:sz="0" w:space="0" w:color="auto"/>
        <w:right w:val="none" w:sz="0" w:space="0" w:color="auto"/>
      </w:divBdr>
      <w:divsChild>
        <w:div w:id="1960525564">
          <w:marLeft w:val="480"/>
          <w:marRight w:val="0"/>
          <w:marTop w:val="0"/>
          <w:marBottom w:val="0"/>
          <w:divBdr>
            <w:top w:val="none" w:sz="0" w:space="0" w:color="auto"/>
            <w:left w:val="none" w:sz="0" w:space="0" w:color="auto"/>
            <w:bottom w:val="none" w:sz="0" w:space="0" w:color="auto"/>
            <w:right w:val="none" w:sz="0" w:space="0" w:color="auto"/>
          </w:divBdr>
          <w:divsChild>
            <w:div w:id="14320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559D-A68D-409E-9F8E-94507C0E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912</Words>
  <Characters>5001</Characters>
  <Application>Microsoft Office Word</Application>
  <DocSecurity>0</DocSecurity>
  <Lines>73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cp:revision>
  <dcterms:created xsi:type="dcterms:W3CDTF">2024-09-30T10:17:00Z</dcterms:created>
  <dcterms:modified xsi:type="dcterms:W3CDTF">2024-09-30T10:17:00Z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id="84m8jGrg"/&gt;&lt;style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