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b19fa9618cd99f26c6e29a131ea4aa75bf2184"/>
    <w:p>
      <w:pPr>
        <w:pStyle w:val="Heading1"/>
      </w:pPr>
      <w:r>
        <w:t xml:space="preserve">Independent Consultant / Supplier Agreement</w:t>
      </w:r>
    </w:p>
    <w:bookmarkStart w:id="24" w:name="X9ee2b69452ff4843416fc2ffe569146d5a72ff5"/>
    <w:p>
      <w:pPr>
        <w:pStyle w:val="Heading2"/>
      </w:pPr>
      <w:r>
        <w:t xml:space="preserve">(PhD Admissions Counselling Program — Research Mentor Consulting)</w:t>
      </w:r>
    </w:p>
    <w:p>
      <w:pPr>
        <w:pStyle w:val="BlockText"/>
      </w:pPr>
      <w:r>
        <w:rPr>
          <w:b/>
          <w:bCs/>
        </w:rPr>
        <w:t xml:space="preserve">Background</w:t>
      </w:r>
      <w:r>
        <w:t xml:space="preserve">: Party A (JY Tech LLC, operating under the brand</w:t>
      </w:r>
      <w:r>
        <w:t xml:space="preserve"> </w:t>
      </w:r>
      <w:r>
        <w:t xml:space="preserve">“JYEdu </w:t>
      </w:r>
      <w:r>
        <w:rPr>
          <w:rFonts w:hint="eastAsia"/>
        </w:rPr>
        <w:t xml:space="preserve">杰圆教育”</w:t>
      </w:r>
      <w:r>
        <w:t xml:space="preserve">) contracts directly with clients (students and/or their parents) under its own name for PhD admissions counselling services, provides those services, and collects the corresponding fees; Party A is the</w:t>
      </w:r>
      <w:r>
        <w:t xml:space="preserve"> </w:t>
      </w:r>
      <w:r>
        <w:rPr>
          <w:b/>
          <w:bCs/>
        </w:rPr>
        <w:t xml:space="preserve">sole contracting and billing party</w:t>
      </w:r>
      <w:r>
        <w:t xml:space="preserve"> </w:t>
      </w:r>
      <w:r>
        <w:t xml:space="preserve">with clients. Party B (Saurabh Consultant) is Party A’s</w:t>
      </w:r>
      <w:r>
        <w:t xml:space="preserve"> </w:t>
      </w:r>
      <w:r>
        <w:rPr>
          <w:b/>
          <w:bCs/>
        </w:rPr>
        <w:t xml:space="preserve">cooperating supplier (independent consultant)</w:t>
      </w:r>
      <w:r>
        <w:t xml:space="preserve">, delivering consulting services to Party A under this Agreement, and does not contract with or bill clients directly. The relationship between the parties is an</w:t>
      </w:r>
      <w:r>
        <w:t xml:space="preserve"> </w:t>
      </w:r>
      <w:r>
        <w:rPr>
          <w:b/>
          <w:bCs/>
        </w:rPr>
        <w:t xml:space="preserve">independent consultant arrangement</w:t>
      </w:r>
      <w:r>
        <w:t xml:space="preserve">, not employment, partnership, or agency.</w:t>
      </w:r>
    </w:p>
    <w:p>
      <w:r>
        <w:pict>
          <v:rect style="width:0;height:1.5pt" o:hralign="center" o:hrstd="t" o:hr="t"/>
        </w:pict>
      </w:r>
    </w:p>
    <w:p>
      <w:pPr>
        <w:pStyle w:val="FirstParagraph"/>
      </w:pPr>
      <w:r>
        <w:rPr>
          <w:b/>
          <w:bCs/>
        </w:rPr>
        <w:t xml:space="preserve">Agreement No.:</w:t>
      </w:r>
      <w:r>
        <w:t xml:space="preserve"> </w:t>
      </w:r>
      <w:r>
        <w:t xml:space="preserve">________________</w:t>
      </w:r>
    </w:p>
    <w:p>
      <w:pPr>
        <w:pStyle w:val="BodyText"/>
      </w:pPr>
      <w:r>
        <w:rPr>
          <w:b/>
          <w:bCs/>
        </w:rPr>
        <w:t xml:space="preserve">Date:</w:t>
      </w:r>
      <w:r>
        <w:t xml:space="preserve"> </w:t>
      </w:r>
      <w:r>
        <w:t xml:space="preserve">________________</w:t>
      </w:r>
    </w:p>
    <w:p>
      <w:pPr>
        <w:pStyle w:val="BodyText"/>
      </w:pPr>
      <w:r>
        <w:rPr>
          <w:b/>
          <w:bCs/>
        </w:rPr>
        <w:t xml:space="preserve">Place:</w:t>
      </w:r>
      <w:r>
        <w:t xml:space="preserve"> </w:t>
      </w:r>
      <w:r>
        <w:t xml:space="preserve">________________</w:t>
      </w:r>
    </w:p>
    <w:p>
      <w:r>
        <w:pict>
          <v:rect style="width:0;height:1.5pt" o:hralign="center" o:hrstd="t" o:hr="t"/>
        </w:pict>
      </w:r>
    </w:p>
    <w:bookmarkStart w:id="9" w:name="the-parties"/>
    <w:p>
      <w:pPr>
        <w:pStyle w:val="Heading3"/>
      </w:pPr>
      <w:r>
        <w:t xml:space="preserve">The Parties</w:t>
      </w:r>
    </w:p>
    <w:p>
      <w:pPr>
        <w:pStyle w:val="FirstParagraph"/>
      </w:pPr>
      <w:r>
        <w:rPr>
          <w:b/>
          <w:bCs/>
        </w:rPr>
        <w:t xml:space="preserve">Party A (Client-Facing Service Provider):</w:t>
      </w:r>
    </w:p>
    <w:p>
      <w:pPr>
        <w:pStyle w:val="Compact"/>
        <w:numPr>
          <w:ilvl w:val="0"/>
          <w:numId w:val="1001"/>
        </w:numPr>
      </w:pPr>
      <w:r>
        <w:t xml:space="preserve">Name: JY Tech LLC (operating under the brand</w:t>
      </w:r>
      <w:r>
        <w:t xml:space="preserve"> </w:t>
      </w:r>
      <w:r>
        <w:t xml:space="preserve">“JYEdu”</w:t>
      </w:r>
      <w:r>
        <w:t xml:space="preserve">)</w:t>
      </w:r>
    </w:p>
    <w:p>
      <w:pPr>
        <w:pStyle w:val="Compact"/>
        <w:numPr>
          <w:ilvl w:val="0"/>
          <w:numId w:val="1001"/>
        </w:numPr>
      </w:pPr>
      <w:r>
        <w:t xml:space="preserve">Place of registration: ________________</w:t>
      </w:r>
    </w:p>
    <w:p>
      <w:pPr>
        <w:pStyle w:val="Compact"/>
        <w:numPr>
          <w:ilvl w:val="0"/>
          <w:numId w:val="1001"/>
        </w:numPr>
      </w:pPr>
      <w:r>
        <w:t xml:space="preserve">Authorized representative: ________________</w:t>
      </w:r>
    </w:p>
    <w:p>
      <w:pPr>
        <w:pStyle w:val="Compact"/>
        <w:numPr>
          <w:ilvl w:val="0"/>
          <w:numId w:val="1001"/>
        </w:numPr>
      </w:pPr>
      <w:r>
        <w:t xml:space="preserve">Contact: ________________</w:t>
      </w:r>
    </w:p>
    <w:p>
      <w:pPr>
        <w:pStyle w:val="FirstParagraph"/>
      </w:pPr>
      <w:r>
        <w:rPr>
          <w:b/>
          <w:bCs/>
        </w:rPr>
        <w:t xml:space="preserve">Party B (Independent Consultant / Supplier):</w:t>
      </w:r>
    </w:p>
    <w:p>
      <w:pPr>
        <w:pStyle w:val="Compact"/>
        <w:numPr>
          <w:ilvl w:val="0"/>
          <w:numId w:val="1002"/>
        </w:numPr>
      </w:pPr>
      <w:r>
        <w:t xml:space="preserve">Full Name: Saurabh ________________</w:t>
      </w:r>
    </w:p>
    <w:p>
      <w:pPr>
        <w:pStyle w:val="Compact"/>
        <w:numPr>
          <w:ilvl w:val="0"/>
          <w:numId w:val="1002"/>
        </w:numPr>
      </w:pPr>
      <w:r>
        <w:t xml:space="preserve">ID/Passport No.: ________________</w:t>
      </w:r>
    </w:p>
    <w:p>
      <w:pPr>
        <w:pStyle w:val="Compact"/>
        <w:numPr>
          <w:ilvl w:val="0"/>
          <w:numId w:val="1002"/>
        </w:numPr>
      </w:pPr>
      <w:r>
        <w:t xml:space="preserve">Academic/institutional background: ________________ (e.g. Cornell University)</w:t>
      </w:r>
    </w:p>
    <w:p>
      <w:pPr>
        <w:pStyle w:val="Compact"/>
        <w:numPr>
          <w:ilvl w:val="0"/>
          <w:numId w:val="1002"/>
        </w:numPr>
      </w:pPr>
      <w:r>
        <w:t xml:space="preserve">Address: ________________</w:t>
      </w:r>
    </w:p>
    <w:p>
      <w:pPr>
        <w:pStyle w:val="Compact"/>
        <w:numPr>
          <w:ilvl w:val="0"/>
          <w:numId w:val="1002"/>
        </w:numPr>
      </w:pPr>
      <w:r>
        <w:t xml:space="preserve">Phone: ________________　　Email: ________________</w:t>
      </w:r>
    </w:p>
    <w:p>
      <w:pPr>
        <w:pStyle w:val="FirstParagraph"/>
      </w:pPr>
      <w:r>
        <w:t xml:space="preserve">Party A and Party B are each referred to individually as a</w:t>
      </w:r>
      <w:r>
        <w:t xml:space="preserve"> </w:t>
      </w:r>
      <w:r>
        <w:t xml:space="preserve">“Party”</w:t>
      </w:r>
      <w:r>
        <w:t xml:space="preserve"> </w:t>
      </w:r>
      <w:r>
        <w:t xml:space="preserve">and collectively as the</w:t>
      </w:r>
      <w:r>
        <w:t xml:space="preserve"> </w:t>
      </w:r>
      <w:r>
        <w:t xml:space="preserve">“Parties.”</w:t>
      </w:r>
    </w:p>
    <w:p>
      <w:r>
        <w:pict>
          <v:rect style="width:0;height:1.5pt" o:hralign="center" o:hrstd="t" o:hr="t"/>
        </w:pict>
      </w:r>
    </w:p>
    <w:bookmarkEnd w:id="9"/>
    <w:bookmarkStart w:id="10" w:name="recitals"/>
    <w:p>
      <w:pPr>
        <w:pStyle w:val="Heading3"/>
      </w:pPr>
      <w:r>
        <w:t xml:space="preserve">Recitals</w:t>
      </w:r>
    </w:p>
    <w:p>
      <w:pPr>
        <w:numPr>
          <w:ilvl w:val="0"/>
          <w:numId w:val="1003"/>
        </w:numPr>
      </w:pPr>
      <w:r>
        <w:t xml:space="preserve">Party A operates a PhD admissions counselling business, contracting directly with clients (students and parents), collecting fees, and coordinating overall project delivery; Party A is the party responsible for service performance under the client contract.</w:t>
      </w:r>
    </w:p>
    <w:p>
      <w:pPr>
        <w:numPr>
          <w:ilvl w:val="0"/>
          <w:numId w:val="1003"/>
        </w:numPr>
      </w:pPr>
      <w:r>
        <w:t xml:space="preserve">Party B is an independent consultant with academic and research experience in PhD-relevant fields, and is willing to act as Party A’s cooperating supplier, delivering consulting services to Party A and its clients with respect to the</w:t>
      </w:r>
      <w:r>
        <w:t xml:space="preserve"> </w:t>
      </w:r>
      <w:r>
        <w:t xml:space="preserve">“Research Mentor”</w:t>
      </w:r>
      <w:r>
        <w:t xml:space="preserve"> </w:t>
      </w:r>
      <w:r>
        <w:t xml:space="preserve">scope of work described in Article 2.</w:t>
      </w:r>
    </w:p>
    <w:p>
      <w:pPr>
        <w:numPr>
          <w:ilvl w:val="0"/>
          <w:numId w:val="1003"/>
        </w:numPr>
      </w:pPr>
      <w:r>
        <w:t xml:space="preserve">The Parties intend to enter into this Agreement on the basis that</w:t>
      </w:r>
      <w:r>
        <w:t xml:space="preserve"> </w:t>
      </w:r>
      <w:r>
        <w:t xml:space="preserve">“Party A is responsible for client contracting, billing, and overall project coordination, while Party B is responsible for delivering consulting services within its area of expertise.”</w:t>
      </w:r>
    </w:p>
    <w:p>
      <w:r>
        <w:pict>
          <v:rect style="width:0;height:1.5pt" o:hralign="center" o:hrstd="t" o:hr="t"/>
        </w:pict>
      </w:r>
    </w:p>
    <w:bookmarkEnd w:id="10"/>
    <w:bookmarkStart w:id="11" w:name="X8e0ffc09bf3013cd7629a0fbb0600e15e3bc77e"/>
    <w:p>
      <w:pPr>
        <w:pStyle w:val="Heading3"/>
      </w:pPr>
      <w:r>
        <w:t xml:space="preserve">Program Background: Overview of the PhD Admissions Counselling Service</w:t>
      </w:r>
    </w:p>
    <w:p>
      <w:pPr>
        <w:pStyle w:val="BlockText"/>
      </w:pPr>
      <w:r>
        <w:t xml:space="preserve">The following describes the complete service framework Party A provides to clients, so that Party B understands where the consulting services under this Agreement fit within the overall program.</w:t>
      </w:r>
      <w:r>
        <w:t xml:space="preserve"> </w:t>
      </w:r>
      <w:r>
        <w:rPr>
          <w:b/>
          <w:bCs/>
        </w:rPr>
        <w:t xml:space="preserve">Party B’s actual scope of service under this Agreement remains governed by Article 2</w:t>
      </w:r>
      <w:r>
        <w:t xml:space="preserve"> </w:t>
      </w:r>
      <w:r>
        <w:t xml:space="preserve">and is not expanded by this background overview.</w:t>
      </w:r>
    </w:p>
    <w:p>
      <w:pPr>
        <w:pStyle w:val="FirstParagraph"/>
      </w:pPr>
      <w:r>
        <w:rPr>
          <w:b/>
          <w:bCs/>
        </w:rPr>
        <w:t xml:space="preserve">Part 01 · Explore the Right Academic Direction</w:t>
      </w:r>
      <w:r>
        <w:t xml:space="preserve">: building the student’s profile snapshot, aligning research direction with future goals, identifying target universities/professors/labs and developing outreach plans, and completing an initial gap analysis.</w:t>
      </w:r>
    </w:p>
    <w:p>
      <w:pPr>
        <w:pStyle w:val="BodyText"/>
      </w:pPr>
      <w:r>
        <w:rPr>
          <w:b/>
          <w:bCs/>
        </w:rPr>
        <w:t xml:space="preserve">Part 02 · Build a Competitive Profile</w:t>
      </w:r>
      <w:r>
        <w:t xml:space="preserve">: strengthening research credibility, structuring the complete application case and gap priorities, building a roughly six-month deadline-driven roadmap (including GRE preparation coordination), and developing the student’s written narrative framework.</w:t>
      </w:r>
    </w:p>
    <w:p>
      <w:pPr>
        <w:pStyle w:val="BodyText"/>
      </w:pPr>
      <w:r>
        <w:rPr>
          <w:b/>
          <w:bCs/>
        </w:rPr>
        <w:t xml:space="preserve">Part 03 · Apply with End-to-End Support</w:t>
      </w:r>
      <w:r>
        <w:t xml:space="preserve">: personal statement and program-specific essays, recommendation strategy, scholarship assistance and financial planning, application material review and submission, interview preparation, and pre-departure orientation.</w:t>
      </w:r>
    </w:p>
    <w:p>
      <w:pPr>
        <w:pStyle w:val="BodyText"/>
      </w:pPr>
      <w:r>
        <w:rPr>
          <w:b/>
          <w:bCs/>
        </w:rPr>
        <w:t xml:space="preserve">Part 04 · Plan the Investment and Next Steps</w:t>
      </w:r>
      <w:r>
        <w:t xml:space="preserve">: confirming the Fall 2027 application scope and target country/region (determined by academic fit, funding, research opportunity, and affordability), and the counselling fee and excluded costs.</w:t>
      </w:r>
    </w:p>
    <w:p>
      <w:pPr>
        <w:pStyle w:val="BodyText"/>
      </w:pPr>
      <w:r>
        <w:rPr>
          <w:b/>
          <w:bCs/>
        </w:rPr>
        <w:t xml:space="preserve">Party B’s consulting services under this Agreement correspond to the</w:t>
      </w:r>
      <w:r>
        <w:rPr>
          <w:b/>
          <w:bCs/>
        </w:rPr>
        <w:t xml:space="preserve"> </w:t>
      </w:r>
      <w:r>
        <w:rPr>
          <w:b/>
          <w:bCs/>
        </w:rPr>
        <w:t xml:space="preserve">“research direction alignment”</w:t>
      </w:r>
      <w:r>
        <w:rPr>
          <w:b/>
          <w:bCs/>
        </w:rPr>
        <w:t xml:space="preserve"> </w:t>
      </w:r>
      <w:r>
        <w:rPr>
          <w:b/>
          <w:bCs/>
        </w:rPr>
        <w:t xml:space="preserve">portion of Part 01 and the</w:t>
      </w:r>
      <w:r>
        <w:rPr>
          <w:b/>
          <w:bCs/>
        </w:rPr>
        <w:t xml:space="preserve"> </w:t>
      </w:r>
      <w:r>
        <w:rPr>
          <w:b/>
          <w:bCs/>
        </w:rPr>
        <w:t xml:space="preserve">“strengthen research credibility”</w:t>
      </w:r>
      <w:r>
        <w:rPr>
          <w:b/>
          <w:bCs/>
        </w:rPr>
        <w:t xml:space="preserve"> </w:t>
      </w:r>
      <w:r>
        <w:rPr>
          <w:b/>
          <w:bCs/>
        </w:rPr>
        <w:t xml:space="preserve">portion of Part 02 above (see Article 2 for details), and do not include essay writing, recommendation letters, scholarship planning, application submission, interview coaching, pre-departure orientation, or other components; those components are performed by Party A itself or through other suppliers.</w:t>
      </w:r>
    </w:p>
    <w:p>
      <w:r>
        <w:pict>
          <v:rect style="width:0;height:1.5pt" o:hralign="center" o:hrstd="t" o:hr="t"/>
        </w:pict>
      </w:r>
    </w:p>
    <w:bookmarkEnd w:id="11"/>
    <w:bookmarkStart w:id="12" w:name="article-1-definitions"/>
    <w:p>
      <w:pPr>
        <w:pStyle w:val="Heading3"/>
      </w:pPr>
      <w:r>
        <w:t xml:space="preserve">Article 1 · Definitions</w:t>
      </w:r>
    </w:p>
    <w:p>
      <w:pPr>
        <w:pStyle w:val="FirstParagraph"/>
      </w:pPr>
      <w:r>
        <w:t xml:space="preserve">1.1</w:t>
      </w:r>
      <w:r>
        <w:t xml:space="preserve"> </w:t>
      </w:r>
      <w:r>
        <w:rPr>
          <w:b/>
          <w:bCs/>
        </w:rPr>
        <w:t xml:space="preserve">“Client”</w:t>
      </w:r>
      <w:r>
        <w:t xml:space="preserve"> </w:t>
      </w:r>
      <w:r>
        <w:t xml:space="preserve">means the student and/or their parent who has signed a PhD admissions counselling service agreement with Party A and receives the services.</w:t>
      </w:r>
    </w:p>
    <w:p>
      <w:pPr>
        <w:pStyle w:val="BodyText"/>
      </w:pPr>
      <w:r>
        <w:t xml:space="preserve">1.2</w:t>
      </w:r>
      <w:r>
        <w:t xml:space="preserve"> </w:t>
      </w:r>
      <w:r>
        <w:rPr>
          <w:b/>
          <w:bCs/>
        </w:rPr>
        <w:t xml:space="preserve">“Client Contract”</w:t>
      </w:r>
      <w:r>
        <w:t xml:space="preserve"> </w:t>
      </w:r>
      <w:r>
        <w:t xml:space="preserve">means the paid service agreement Party A enters into with a Client in its own name.</w:t>
      </w:r>
    </w:p>
    <w:p>
      <w:pPr>
        <w:pStyle w:val="BodyText"/>
      </w:pPr>
      <w:r>
        <w:t xml:space="preserve">1.3</w:t>
      </w:r>
      <w:r>
        <w:t xml:space="preserve"> </w:t>
      </w:r>
      <w:r>
        <w:rPr>
          <w:b/>
          <w:bCs/>
        </w:rPr>
        <w:t xml:space="preserve">“Consulting Services”</w:t>
      </w:r>
      <w:r>
        <w:t xml:space="preserve"> </w:t>
      </w:r>
      <w:r>
        <w:t xml:space="preserve">means the Research Mentor-related work Party B delivers to Party A under Article 2 of this Agreement, forming part of the services under the Client Contract.</w:t>
      </w:r>
    </w:p>
    <w:p>
      <w:pPr>
        <w:pStyle w:val="BodyText"/>
      </w:pPr>
      <w:r>
        <w:t xml:space="preserve">1.4</w:t>
      </w:r>
      <w:r>
        <w:t xml:space="preserve"> </w:t>
      </w:r>
      <w:r>
        <w:rPr>
          <w:b/>
          <w:bCs/>
        </w:rPr>
        <w:t xml:space="preserve">“Consultant Fee”</w:t>
      </w:r>
      <w:r>
        <w:t xml:space="preserve"> </w:t>
      </w:r>
      <w:r>
        <w:t xml:space="preserve">means the fee Party A pays to Party B under Article 5 of this Agreement, as consideration for Party B’s Consulting Services.</w:t>
      </w:r>
    </w:p>
    <w:p>
      <w:pPr>
        <w:pStyle w:val="BodyText"/>
      </w:pPr>
      <w:r>
        <w:t xml:space="preserve">1.5</w:t>
      </w:r>
      <w:r>
        <w:t xml:space="preserve"> </w:t>
      </w:r>
      <w:r>
        <w:rPr>
          <w:b/>
          <w:bCs/>
        </w:rPr>
        <w:t xml:space="preserve">“Circumvention”</w:t>
      </w:r>
      <w:r>
        <w:t xml:space="preserve"> </w:t>
      </w:r>
      <w:r>
        <w:t xml:space="preserve">means Party B, without Party A’s prior written consent, directly or indirectly contacting, negotiating, or reaching any arrangement with a Client regarding commercial matters (including but not limited to pricing, payment, renewal, or providing additional services).</w:t>
      </w:r>
    </w:p>
    <w:p>
      <w:r>
        <w:pict>
          <v:rect style="width:0;height:1.5pt" o:hralign="center" o:hrstd="t" o:hr="t"/>
        </w:pict>
      </w:r>
    </w:p>
    <w:bookmarkEnd w:id="12"/>
    <w:bookmarkStart w:id="13" w:name="article-2-scope-of-services"/>
    <w:p>
      <w:pPr>
        <w:pStyle w:val="Heading3"/>
      </w:pPr>
      <w:r>
        <w:t xml:space="preserve">Article 2 · Scope of Services</w:t>
      </w:r>
    </w:p>
    <w:p>
      <w:pPr>
        <w:pStyle w:val="FirstParagraph"/>
      </w:pPr>
      <w:r>
        <w:t xml:space="preserve">Under the program framework, Party B provides Consulting Services with respect to the following</w:t>
      </w:r>
      <w:r>
        <w:t xml:space="preserve"> </w:t>
      </w:r>
      <w:r>
        <w:t xml:space="preserve">“Research Mentor”</w:t>
      </w:r>
      <w:r>
        <w:t xml:space="preserve"> </w:t>
      </w:r>
      <w:r>
        <w:t xml:space="preserve">work for Client cases assigned by Party A in writing (including by email); the number of cases and timelines are as assigned by Party A:</w:t>
      </w:r>
    </w:p>
    <w:p>
      <w:pPr>
        <w:pStyle w:val="BodyText"/>
      </w:pPr>
      <w:r>
        <w:rPr>
          <w:b/>
          <w:bCs/>
        </w:rPr>
        <w:t xml:space="preserve">2.1 Research Position &amp; Alignment</w:t>
      </w:r>
    </w:p>
    <w:p>
      <w:pPr>
        <w:pStyle w:val="Compact"/>
        <w:numPr>
          <w:ilvl w:val="0"/>
          <w:numId w:val="1004"/>
        </w:numPr>
      </w:pPr>
    </w:p>
    <w:p>
      <w:pPr>
        <w:pStyle w:val="Compact"/>
        <w:numPr>
          <w:ilvl w:val="1"/>
          <w:numId w:val="1005"/>
        </w:numPr>
      </w:pPr>
      <w:r>
        <w:t xml:space="preserve">Helping identify the connection between the Client student’s research interests, existing expertise, and future academic/professional goals, to help determine a research direction;</w:t>
      </w:r>
    </w:p>
    <w:p>
      <w:pPr>
        <w:pStyle w:val="Compact"/>
        <w:numPr>
          <w:ilvl w:val="0"/>
          <w:numId w:val="1004"/>
        </w:numPr>
      </w:pPr>
    </w:p>
    <w:p>
      <w:pPr>
        <w:pStyle w:val="Compact"/>
        <w:numPr>
          <w:ilvl w:val="1"/>
          <w:numId w:val="1006"/>
        </w:numPr>
      </w:pPr>
      <w:r>
        <w:t xml:space="preserve">Providing professional input on the fit between the research direction and target universities, professors, and labs, supporting Party A in finalizing a targeted list of universities/professors and an outreach plan.</w:t>
      </w:r>
    </w:p>
    <w:p>
      <w:pPr>
        <w:pStyle w:val="FirstParagraph"/>
      </w:pPr>
      <w:r>
        <w:rPr>
          <w:b/>
          <w:bCs/>
        </w:rPr>
        <w:t xml:space="preserve">2.2 Strengthen Research Credibility</w:t>
      </w:r>
    </w:p>
    <w:p>
      <w:pPr>
        <w:pStyle w:val="Compact"/>
        <w:numPr>
          <w:ilvl w:val="0"/>
          <w:numId w:val="1007"/>
        </w:numPr>
      </w:pPr>
    </w:p>
    <w:p>
      <w:pPr>
        <w:pStyle w:val="Compact"/>
        <w:numPr>
          <w:ilvl w:val="1"/>
          <w:numId w:val="1008"/>
        </w:numPr>
      </w:pPr>
      <w:r>
        <w:t xml:space="preserve">Guiding the Client student to advance and refine their research work, and where necessary, helping develop research that can be published, to strengthen the competitiveness of the application;</w:t>
      </w:r>
    </w:p>
    <w:p>
      <w:pPr>
        <w:pStyle w:val="Compact"/>
        <w:numPr>
          <w:ilvl w:val="0"/>
          <w:numId w:val="1007"/>
        </w:numPr>
      </w:pPr>
    </w:p>
    <w:p>
      <w:pPr>
        <w:pStyle w:val="Compact"/>
        <w:numPr>
          <w:ilvl w:val="1"/>
          <w:numId w:val="1009"/>
        </w:numPr>
      </w:pPr>
      <w:r>
        <w:t xml:space="preserve">Providing professional input on how the Client student’s research materials should be presented in application materials (personal statement, supplementary research statements, etc.);</w:t>
      </w:r>
    </w:p>
    <w:p>
      <w:pPr>
        <w:pStyle w:val="Compact"/>
        <w:numPr>
          <w:ilvl w:val="0"/>
          <w:numId w:val="1007"/>
        </w:numPr>
      </w:pPr>
    </w:p>
    <w:p>
      <w:pPr>
        <w:pStyle w:val="Compact"/>
        <w:numPr>
          <w:ilvl w:val="1"/>
          <w:numId w:val="1010"/>
        </w:numPr>
      </w:pPr>
      <w:r>
        <w:t xml:space="preserve">Assisting Party A in evaluating the conclusions and priorities of the research-related gap analysis.</w:t>
      </w:r>
    </w:p>
    <w:p>
      <w:pPr>
        <w:pStyle w:val="FirstParagraph"/>
      </w:pPr>
      <w:r>
        <w:rPr>
          <w:b/>
          <w:bCs/>
        </w:rPr>
        <w:t xml:space="preserve">2.3 Other</w:t>
      </w:r>
      <w:r>
        <w:t xml:space="preserve">: The Parties may confirm in writing other service content in which Party B participates (e.g. simulating research-related interview questions), to be attached as an appendix to this Agreement.</w:t>
      </w:r>
    </w:p>
    <w:p>
      <w:pPr>
        <w:pStyle w:val="BodyText"/>
      </w:pPr>
      <w:r>
        <w:t xml:space="preserve">2.4 Party B shall provide the Consulting Services personally, and shall not subcontract or delegate the services to any third party without Party A’s prior written consent.</w:t>
      </w:r>
    </w:p>
    <w:p>
      <w:r>
        <w:pict>
          <v:rect style="width:0;height:1.5pt" o:hralign="center" o:hrstd="t" o:hr="t"/>
        </w:pict>
      </w:r>
    </w:p>
    <w:bookmarkEnd w:id="13"/>
    <w:bookmarkStart w:id="14" w:name="article-3-rights-and-obligations"/>
    <w:p>
      <w:pPr>
        <w:pStyle w:val="Heading3"/>
      </w:pPr>
      <w:r>
        <w:t xml:space="preserve">Article 3 · Rights and Obligations</w:t>
      </w:r>
    </w:p>
    <w:p>
      <w:pPr>
        <w:pStyle w:val="FirstParagraph"/>
      </w:pPr>
      <w:r>
        <w:rPr>
          <w:b/>
          <w:bCs/>
        </w:rPr>
        <w:t xml:space="preserve">3.1 Party A’s Obligations:</w:t>
      </w:r>
    </w:p>
    <w:p>
      <w:pPr>
        <w:pStyle w:val="Compact"/>
        <w:numPr>
          <w:ilvl w:val="0"/>
          <w:numId w:val="1011"/>
        </w:numPr>
      </w:pPr>
    </w:p>
    <w:p>
      <w:pPr>
        <w:pStyle w:val="Compact"/>
        <w:numPr>
          <w:ilvl w:val="1"/>
          <w:numId w:val="1012"/>
        </w:numPr>
      </w:pPr>
      <w:r>
        <w:t xml:space="preserve">Assign Client cases to Party B in a timely and clear manner, specifying client background, service standards, and timelines;</w:t>
      </w:r>
    </w:p>
    <w:p>
      <w:pPr>
        <w:pStyle w:val="Compact"/>
        <w:numPr>
          <w:ilvl w:val="0"/>
          <w:numId w:val="1011"/>
        </w:numPr>
      </w:pPr>
    </w:p>
    <w:p>
      <w:pPr>
        <w:pStyle w:val="Compact"/>
        <w:numPr>
          <w:ilvl w:val="1"/>
          <w:numId w:val="1013"/>
        </w:numPr>
      </w:pPr>
      <w:r>
        <w:t xml:space="preserve">Pay the Consultant Fee to Party B in a timely manner under Article 5;</w:t>
      </w:r>
    </w:p>
    <w:p>
      <w:pPr>
        <w:pStyle w:val="Compact"/>
        <w:numPr>
          <w:ilvl w:val="0"/>
          <w:numId w:val="1011"/>
        </w:numPr>
      </w:pPr>
    </w:p>
    <w:p>
      <w:pPr>
        <w:pStyle w:val="Compact"/>
        <w:numPr>
          <w:ilvl w:val="1"/>
          <w:numId w:val="1014"/>
        </w:numPr>
      </w:pPr>
      <w:r>
        <w:t xml:space="preserve">Provide Party B with necessary coordination support to perform the Consulting Services (e.g. client communication channels, coordination of materials).</w:t>
      </w:r>
    </w:p>
    <w:p>
      <w:pPr>
        <w:pStyle w:val="FirstParagraph"/>
      </w:pPr>
      <w:r>
        <w:rPr>
          <w:b/>
          <w:bCs/>
        </w:rPr>
        <w:t xml:space="preserve">3.2 Party B’s Obligations:</w:t>
      </w:r>
    </w:p>
    <w:p>
      <w:pPr>
        <w:pStyle w:val="Compact"/>
        <w:numPr>
          <w:ilvl w:val="0"/>
          <w:numId w:val="1015"/>
        </w:numPr>
      </w:pPr>
    </w:p>
    <w:p>
      <w:pPr>
        <w:pStyle w:val="Compact"/>
        <w:numPr>
          <w:ilvl w:val="1"/>
          <w:numId w:val="1016"/>
        </w:numPr>
      </w:pPr>
      <w:r>
        <w:t xml:space="preserve">Deliver Consulting Services in accordance with the cases assigned by Party A and the agreed standards and timelines, ensuring service quality meets the standards agreed between Party A and the Client;</w:t>
      </w:r>
    </w:p>
    <w:p>
      <w:pPr>
        <w:pStyle w:val="Compact"/>
        <w:numPr>
          <w:ilvl w:val="0"/>
          <w:numId w:val="1015"/>
        </w:numPr>
      </w:pPr>
    </w:p>
    <w:p>
      <w:pPr>
        <w:pStyle w:val="Compact"/>
        <w:numPr>
          <w:ilvl w:val="1"/>
          <w:numId w:val="1017"/>
        </w:numPr>
      </w:pPr>
      <w:r>
        <w:t xml:space="preserve">Maintain strict confidentiality with respect to Client personal information, academic/research materials, and Party A’s business information obtained in the course of providing Consulting Services (see Article 4);</w:t>
      </w:r>
    </w:p>
    <w:p>
      <w:pPr>
        <w:pStyle w:val="Compact"/>
        <w:numPr>
          <w:ilvl w:val="0"/>
          <w:numId w:val="1015"/>
        </w:numPr>
      </w:pPr>
    </w:p>
    <w:p>
      <w:pPr>
        <w:pStyle w:val="Compact"/>
        <w:numPr>
          <w:ilvl w:val="1"/>
          <w:numId w:val="1018"/>
        </w:numPr>
      </w:pPr>
      <w:r>
        <w:t xml:space="preserve">Not engage in Circumvention as defined in Article 4;</w:t>
      </w:r>
    </w:p>
    <w:p>
      <w:pPr>
        <w:pStyle w:val="Compact"/>
        <w:numPr>
          <w:ilvl w:val="0"/>
          <w:numId w:val="1015"/>
        </w:numPr>
      </w:pPr>
    </w:p>
    <w:p>
      <w:pPr>
        <w:pStyle w:val="Compact"/>
        <w:numPr>
          <w:ilvl w:val="1"/>
          <w:numId w:val="1019"/>
        </w:numPr>
      </w:pPr>
      <w:r>
        <w:t xml:space="preserve">If unable to deliver services on schedule for any reason, promptly (no later than</w:t>
      </w:r>
      <w:r>
        <w:t xml:space="preserve"> </w:t>
      </w:r>
      <w:r>
        <w:rPr>
          <w:b/>
          <w:bCs/>
        </w:rPr>
        <w:t xml:space="preserve">[3] business days</w:t>
      </w:r>
      <w:r>
        <w:t xml:space="preserve">) notify Party A in writing and cooperate with Party A in arranging a remedy or substitute consultant.</w:t>
      </w:r>
    </w:p>
    <w:p>
      <w:r>
        <w:pict>
          <v:rect style="width:0;height:1.5pt" o:hralign="center" o:hrstd="t" o:hr="t"/>
        </w:pict>
      </w:r>
    </w:p>
    <w:bookmarkEnd w:id="14"/>
    <w:bookmarkStart w:id="15" w:name="Xa7e681663cf2ad77ef045c32e7ceaf767c9cf83"/>
    <w:p>
      <w:pPr>
        <w:pStyle w:val="Heading3"/>
      </w:pPr>
      <w:r>
        <w:t xml:space="preserve">Article 4 · Confidentiality &amp; Non-Circumvention</w:t>
      </w:r>
    </w:p>
    <w:p>
      <w:pPr>
        <w:pStyle w:val="FirstParagraph"/>
      </w:pPr>
      <w:r>
        <w:t xml:space="preserve">4.1 Party B shall maintain strict confidentiality with respect to</w:t>
      </w:r>
      <w:r>
        <w:t xml:space="preserve"> </w:t>
      </w:r>
      <w:r>
        <w:rPr>
          <w:b/>
          <w:bCs/>
        </w:rPr>
        <w:t xml:space="preserve">Client personal information</w:t>
      </w:r>
      <w:r>
        <w:t xml:space="preserve"> </w:t>
      </w:r>
      <w:r>
        <w:t xml:space="preserve">(name, contact details, family circumstances, academic/research materials, etc.) and</w:t>
      </w:r>
      <w:r>
        <w:t xml:space="preserve"> </w:t>
      </w:r>
      <w:r>
        <w:rPr>
          <w:b/>
          <w:bCs/>
        </w:rPr>
        <w:t xml:space="preserve">Party A’s business information</w:t>
      </w:r>
      <w:r>
        <w:t xml:space="preserve"> </w:t>
      </w:r>
      <w:r>
        <w:t xml:space="preserve">(client lists, commercial terms, service methodology, internal tools/templates, etc.) obtained in the course of performing this Agreement, and may use such information solely to deliver the Consulting Services under this Agreement, for no other purpose.</w:t>
      </w:r>
    </w:p>
    <w:p>
      <w:pPr>
        <w:pStyle w:val="BodyText"/>
      </w:pPr>
      <w:r>
        <w:t xml:space="preserve">4.2 Party B shall</w:t>
      </w:r>
      <w:r>
        <w:t xml:space="preserve"> </w:t>
      </w:r>
      <w:r>
        <w:rPr>
          <w:b/>
          <w:bCs/>
        </w:rPr>
        <w:t xml:space="preserve">not</w:t>
      </w:r>
      <w:r>
        <w:t xml:space="preserve">:</w:t>
      </w:r>
    </w:p>
    <w:p>
      <w:pPr>
        <w:pStyle w:val="Compact"/>
        <w:numPr>
          <w:ilvl w:val="0"/>
          <w:numId w:val="1020"/>
        </w:numPr>
      </w:pPr>
    </w:p>
    <w:p>
      <w:pPr>
        <w:pStyle w:val="Compact"/>
        <w:numPr>
          <w:ilvl w:val="1"/>
          <w:numId w:val="1021"/>
        </w:numPr>
      </w:pPr>
      <w:r>
        <w:t xml:space="preserve">Disclose the foregoing information to any third party other than Party A and Party A’s necessary internal personnel;</w:t>
      </w:r>
    </w:p>
    <w:p>
      <w:pPr>
        <w:pStyle w:val="Compact"/>
        <w:numPr>
          <w:ilvl w:val="0"/>
          <w:numId w:val="1020"/>
        </w:numPr>
      </w:pPr>
    </w:p>
    <w:p>
      <w:pPr>
        <w:pStyle w:val="Compact"/>
        <w:numPr>
          <w:ilvl w:val="1"/>
          <w:numId w:val="1022"/>
        </w:numPr>
      </w:pPr>
      <w:r>
        <w:t xml:space="preserve">Directly or indirectly contact Party A’s Clients to engage in, negotiate, or reach any arrangement regarding services, pricing, payment, renewal, or other commercial matters, whether within or outside the scope of this Agreement (i.e. </w:t>
      </w:r>
      <w:r>
        <w:t xml:space="preserve">“Circumvention”</w:t>
      </w:r>
      <w:r>
        <w:t xml:space="preserve">);</w:t>
      </w:r>
    </w:p>
    <w:p>
      <w:pPr>
        <w:pStyle w:val="Compact"/>
        <w:numPr>
          <w:ilvl w:val="0"/>
          <w:numId w:val="1020"/>
        </w:numPr>
      </w:pPr>
    </w:p>
    <w:p>
      <w:pPr>
        <w:pStyle w:val="Compact"/>
        <w:numPr>
          <w:ilvl w:val="1"/>
          <w:numId w:val="1023"/>
        </w:numPr>
      </w:pPr>
      <w:r>
        <w:t xml:space="preserve">Use client relationships obtained through this Agreement to solicit Clients toward Party B’s own or a third party’s competing services.</w:t>
      </w:r>
    </w:p>
    <w:p>
      <w:pPr>
        <w:pStyle w:val="FirstParagraph"/>
      </w:pPr>
      <w:r>
        <w:t xml:space="preserve">4.3 If Party B breaches this Article, in addition to liability under Article 9, Party A may immediately terminate this Agreement and require Party B to compensate Party A in full for any resulting losses (including to its client relationships and goodwill); Party B shall have no claim to any interest in Party A’s subsequent cooperation with or revenue from the relevant Client.</w:t>
      </w:r>
    </w:p>
    <w:p>
      <w:pPr>
        <w:pStyle w:val="BodyText"/>
      </w:pPr>
      <w:r>
        <w:t xml:space="preserve">4.4 The confidentiality and non-circumvention obligations under this Article survive termination of this Agreement for</w:t>
      </w:r>
      <w:r>
        <w:t xml:space="preserve"> </w:t>
      </w:r>
      <w:r>
        <w:rPr>
          <w:b/>
          <w:bCs/>
        </w:rPr>
        <w:t xml:space="preserve">[3] years</w:t>
      </w:r>
      <w:r>
        <w:t xml:space="preserve">.</w:t>
      </w:r>
    </w:p>
    <w:p>
      <w:r>
        <w:pict>
          <v:rect style="width:0;height:1.5pt" o:hralign="center" o:hrstd="t" o:hr="t"/>
        </w:pict>
      </w:r>
    </w:p>
    <w:bookmarkEnd w:id="15"/>
    <w:bookmarkStart w:id="16" w:name="article-5-consultant-fees-payment"/>
    <w:p>
      <w:pPr>
        <w:pStyle w:val="Heading3"/>
      </w:pPr>
      <w:r>
        <w:t xml:space="preserve">Article 5 · Consultant Fees &amp; Payment</w:t>
      </w:r>
    </w:p>
    <w:p>
      <w:pPr>
        <w:pStyle w:val="FirstParagraph"/>
      </w:pPr>
      <w:r>
        <w:t xml:space="preserve">5.1</w:t>
      </w:r>
      <w:r>
        <w:t xml:space="preserve"> </w:t>
      </w:r>
      <w:r>
        <w:rPr>
          <w:b/>
          <w:bCs/>
        </w:rPr>
        <w:t xml:space="preserve">Fee Structure (Party B’s Quote)</w:t>
      </w:r>
      <w:r>
        <w:t xml:space="preserve">: Party B shall propose a quote to Party A for the entirety of the Consulting Services under this Agreement (including research direction alignment and strengthening research credibility under Article 2, and, if applicable, research paper writing/publication support), with the specific amounts to be filled in by Party B and confirmed in writing by Party A:</w:t>
      </w:r>
    </w:p>
    <w:p>
      <w:pPr>
        <w:pStyle w:val="Compact"/>
        <w:numPr>
          <w:ilvl w:val="0"/>
          <w:numId w:val="1024"/>
        </w:numPr>
      </w:pPr>
    </w:p>
    <w:p>
      <w:pPr>
        <w:pStyle w:val="Compact"/>
        <w:numPr>
          <w:ilvl w:val="1"/>
          <w:numId w:val="1025"/>
        </w:numPr>
      </w:pPr>
      <w:r>
        <w:rPr>
          <w:b/>
          <w:bCs/>
        </w:rPr>
        <w:t xml:space="preserve">Consulting service fee</w:t>
      </w:r>
      <w:r>
        <w:t xml:space="preserve"> </w:t>
      </w:r>
      <w:r>
        <w:t xml:space="preserve">(per case, excluding paper writing/publication support): RMB</w:t>
      </w:r>
      <w:r>
        <w:t xml:space="preserve"> </w:t>
      </w:r>
      <w:r>
        <w:rPr>
          <w:b/>
          <w:bCs/>
        </w:rPr>
        <w:t xml:space="preserve">¥________________</w:t>
      </w:r>
      <w:r>
        <w:t xml:space="preserve">;</w:t>
      </w:r>
    </w:p>
    <w:p>
      <w:pPr>
        <w:pStyle w:val="Compact"/>
        <w:numPr>
          <w:ilvl w:val="0"/>
          <w:numId w:val="1024"/>
        </w:numPr>
      </w:pPr>
    </w:p>
    <w:p>
      <w:pPr>
        <w:pStyle w:val="Compact"/>
        <w:numPr>
          <w:ilvl w:val="1"/>
          <w:numId w:val="1026"/>
        </w:numPr>
      </w:pPr>
      <w:r>
        <w:rPr>
          <w:b/>
          <w:bCs/>
        </w:rPr>
        <w:t xml:space="preserve">Paper writing/publication support fee</w:t>
      </w:r>
      <w:r>
        <w:t xml:space="preserve"> </w:t>
      </w:r>
      <w:r>
        <w:t xml:space="preserve">(per paper, if Party B undertakes this work): RMB</w:t>
      </w:r>
      <w:r>
        <w:t xml:space="preserve"> </w:t>
      </w:r>
      <w:r>
        <w:rPr>
          <w:b/>
          <w:bCs/>
        </w:rPr>
        <w:t xml:space="preserve">¥________________</w:t>
      </w:r>
      <w:r>
        <w:t xml:space="preserve">.</w:t>
      </w:r>
    </w:p>
    <w:p>
      <w:pPr>
        <w:pStyle w:val="FirstParagraph"/>
      </w:pPr>
      <w:r>
        <w:t xml:space="preserve">Once confirmed in writing by both Parties, the foregoing quote constitutes the Consultant Fee standard under this Agreement.</w:t>
      </w:r>
    </w:p>
    <w:p>
      <w:pPr>
        <w:pStyle w:val="BodyText"/>
      </w:pPr>
      <w:r>
        <w:t xml:space="preserve">5.2</w:t>
      </w:r>
      <w:r>
        <w:t xml:space="preserve"> </w:t>
      </w:r>
      <w:r>
        <w:rPr>
          <w:b/>
          <w:bCs/>
        </w:rPr>
        <w:t xml:space="preserve">Payment Method</w:t>
      </w:r>
      <w:r>
        <w:t xml:space="preserve">: The Consultant Fee is paid per case in a single payment, not in stages; Party A shall pay the full Consultant Fee for a case within</w:t>
      </w:r>
      <w:r>
        <w:t xml:space="preserve"> </w:t>
      </w:r>
      <w:r>
        <w:rPr>
          <w:b/>
          <w:bCs/>
        </w:rPr>
        <w:t xml:space="preserve">[ ]</w:t>
      </w:r>
      <w:r>
        <w:t xml:space="preserve"> </w:t>
      </w:r>
      <w:r>
        <w:t xml:space="preserve">business days of the commencement of service for that case.</w:t>
      </w:r>
    </w:p>
    <w:p>
      <w:pPr>
        <w:pStyle w:val="BodyText"/>
      </w:pPr>
      <w:r>
        <w:t xml:space="preserve">5.3</w:t>
      </w:r>
      <w:r>
        <w:t xml:space="preserve"> </w:t>
      </w:r>
      <w:r>
        <w:rPr>
          <w:b/>
          <w:bCs/>
        </w:rPr>
        <w:t xml:space="preserve">Invoicing &amp; Taxes</w:t>
      </w:r>
      <w:r>
        <w:t xml:space="preserve">: As an independent consultant, Party B is solely responsible for all taxes arising from amounts received under this Agreement; before paying the Consultant Fee, Party A may require Party B to provide the necessary invoice(s), W-9/W-8, or other tax documentation, as applicable.</w:t>
      </w:r>
    </w:p>
    <w:p>
      <w:pPr>
        <w:pStyle w:val="BodyText"/>
      </w:pPr>
      <w:r>
        <w:t xml:space="preserve">5.4</w:t>
      </w:r>
      <w:r>
        <w:t xml:space="preserve"> </w:t>
      </w:r>
      <w:r>
        <w:rPr>
          <w:b/>
          <w:bCs/>
        </w:rPr>
        <w:t xml:space="preserve">Fee Adjustment</w:t>
      </w:r>
      <w:r>
        <w:t xml:space="preserve">: If the scope of a Client case changes materially, the Parties may agree in writing on an adjusted Consultant Fee arrangement.</w:t>
      </w:r>
    </w:p>
    <w:p>
      <w:pPr>
        <w:pStyle w:val="BodyText"/>
      </w:pPr>
      <w:r>
        <w:t xml:space="preserve">5.5 If payment is overdue by more than</w:t>
      </w:r>
      <w:r>
        <w:t xml:space="preserve"> </w:t>
      </w:r>
      <w:r>
        <w:rPr>
          <w:b/>
          <w:bCs/>
        </w:rPr>
        <w:t xml:space="preserve">[15]</w:t>
      </w:r>
      <w:r>
        <w:t xml:space="preserve"> </w:t>
      </w:r>
      <w:r>
        <w:t xml:space="preserve">days, the Parties shall promptly communicate to resolve the matter; Party B may also suspend services for newly assigned cases until outstanding Consultant Fees are settled.</w:t>
      </w:r>
    </w:p>
    <w:p>
      <w:pPr>
        <w:pStyle w:val="BodyText"/>
      </w:pPr>
      <w:r>
        <w:t xml:space="preserve">5.6</w:t>
      </w:r>
      <w:r>
        <w:t xml:space="preserve"> </w:t>
      </w:r>
      <w:r>
        <w:rPr>
          <w:b/>
          <w:bCs/>
        </w:rPr>
        <w:t xml:space="preserve">Consultant Fee for Extended Cases</w:t>
      </w:r>
      <w:r>
        <w:t xml:space="preserve">: Party A’s service objective toward Clients is to</w:t>
      </w:r>
      <w:r>
        <w:t xml:space="preserve"> </w:t>
      </w:r>
      <w:r>
        <w:rPr>
          <w:b/>
          <w:bCs/>
        </w:rPr>
        <w:t xml:space="preserve">support students in applying to fully-funded PhD programmes at globally top-100 ranked universities</w:t>
      </w:r>
      <w:r>
        <w:t xml:space="preserve">. If a Client case does not achieve such an admission in the originally targeted application cycle (e.g. Fall 2027) and continues, under the Client Contract, into a subsequent application cycle (with no additional fee charged to the Client), Party B shall continue providing Consulting Services;</w:t>
      </w:r>
      <w:r>
        <w:t xml:space="preserve"> </w:t>
      </w:r>
      <w:r>
        <w:rPr>
          <w:b/>
          <w:bCs/>
        </w:rPr>
        <w:t xml:space="preserve">such extended service is already covered by the per-case Consultant Fee under Article 5.1(a), and Party A shall pay no additional amount</w:t>
      </w:r>
      <w:r>
        <w:t xml:space="preserve">.</w:t>
      </w:r>
    </w:p>
    <w:p>
      <w:pPr>
        <w:pStyle w:val="BodyText"/>
      </w:pPr>
      <w:r>
        <w:t xml:space="preserve">5.7 Party B’s service standards and cooperation requirements during any extended period remain governed by Article 3; if Party B is unable to continue with an extended case for any reason, it shall give Party A</w:t>
      </w:r>
      <w:r>
        <w:t xml:space="preserve"> </w:t>
      </w:r>
      <w:r>
        <w:rPr>
          <w:b/>
          <w:bCs/>
        </w:rPr>
        <w:t xml:space="preserve">[15]</w:t>
      </w:r>
      <w:r>
        <w:t xml:space="preserve"> </w:t>
      </w:r>
      <w:r>
        <w:t xml:space="preserve">days’ prior written notice so that Party A may arrange a handover or substitute consultant.</w:t>
      </w:r>
    </w:p>
    <w:p>
      <w:r>
        <w:pict>
          <v:rect style="width:0;height:1.5pt" o:hralign="center" o:hrstd="t" o:hr="t"/>
        </w:pict>
      </w:r>
    </w:p>
    <w:bookmarkEnd w:id="16"/>
    <w:bookmarkStart w:id="17" w:name="article-6-independent-contractor-status"/>
    <w:p>
      <w:pPr>
        <w:pStyle w:val="Heading3"/>
      </w:pPr>
      <w:r>
        <w:t xml:space="preserve">Article 6 · Independent Contractor Status</w:t>
      </w:r>
    </w:p>
    <w:p>
      <w:pPr>
        <w:pStyle w:val="FirstParagraph"/>
      </w:pPr>
      <w:r>
        <w:t xml:space="preserve">6.1 The Parties confirm that Party B is an</w:t>
      </w:r>
      <w:r>
        <w:t xml:space="preserve"> </w:t>
      </w:r>
      <w:r>
        <w:rPr>
          <w:b/>
          <w:bCs/>
        </w:rPr>
        <w:t xml:space="preserve">Independent Contractor</w:t>
      </w:r>
      <w:r>
        <w:t xml:space="preserve">, not an employee, partner, agent, or branch of Party A; this Agreement does not create an employment relationship, and Party B is not entitled to any employee benefits of Party A (except where mandated by applicable law).</w:t>
      </w:r>
    </w:p>
    <w:p>
      <w:pPr>
        <w:pStyle w:val="BodyText"/>
      </w:pPr>
      <w:r>
        <w:t xml:space="preserve">6.2 Party B is solely responsible for taxes, insurance, and other statutory obligations arising from the provision of the Consulting Services; Party B has no authority to conduct business, make commitments, or execute documents on Party A’s behalf, except as expressly authorized under this Agreement.</w:t>
      </w:r>
    </w:p>
    <w:p>
      <w:pPr>
        <w:pStyle w:val="BodyText"/>
      </w:pPr>
      <w:r>
        <w:t xml:space="preserve">6.3 Except for the service delivery, confidentiality, and non-circumvention matters expressly provided for in this Agreement, this Agreement does not create any other legal or business relationship between the Parties.</w:t>
      </w:r>
    </w:p>
    <w:p>
      <w:r>
        <w:pict>
          <v:rect style="width:0;height:1.5pt" o:hralign="center" o:hrstd="t" o:hr="t"/>
        </w:pict>
      </w:r>
    </w:p>
    <w:bookmarkEnd w:id="17"/>
    <w:bookmarkStart w:id="18" w:name="article-7-intellectual-property"/>
    <w:p>
      <w:pPr>
        <w:pStyle w:val="Heading3"/>
      </w:pPr>
      <w:r>
        <w:t xml:space="preserve">Article 7 · Intellectual Property</w:t>
      </w:r>
    </w:p>
    <w:p>
      <w:pPr>
        <w:pStyle w:val="FirstParagraph"/>
      </w:pPr>
      <w:r>
        <w:t xml:space="preserve">7.1 Any work product Party B creates or develops for a Client or Party A in the course of performing this Agreement (including but not limited to research direction recommendation reports, research guidance notes, and written feedback, but excluding original research output created by the Client or a third party) shall belong to</w:t>
      </w:r>
      <w:r>
        <w:t xml:space="preserve"> </w:t>
      </w:r>
      <w:r>
        <w:rPr>
          <w:b/>
          <w:bCs/>
        </w:rPr>
        <w:t xml:space="preserve">Party A</w:t>
      </w:r>
      <w:r>
        <w:t xml:space="preserve">; Party B hereby assigns (as an assignment / work made for hire, to the fullest extent permitted by applicable law) all intellectual property rights in such work product, while retaining the right to use such work product as necessary to perform the services under this Agreement.</w:t>
      </w:r>
    </w:p>
    <w:p>
      <w:pPr>
        <w:pStyle w:val="BodyText"/>
      </w:pPr>
      <w:r>
        <w:t xml:space="preserve">7.2 Intellectual property in the Client student’s own original research output, personal experiences, and other information belongs to the student or the original rights holder; Party B may use such materials solely for the purposes of this Agreement.</w:t>
      </w:r>
    </w:p>
    <w:p>
      <w:pPr>
        <w:pStyle w:val="BodyText"/>
      </w:pPr>
      <w:r>
        <w:t xml:space="preserve">7.3 Party B’s own methodology, general knowledge, and any intellectual property Party B held prior to signing this Agreement remain Party B’s property; Party A obtains only a license to use such items for the purpose of completing the Client services.</w:t>
      </w:r>
    </w:p>
    <w:p>
      <w:r>
        <w:pict>
          <v:rect style="width:0;height:1.5pt" o:hralign="center" o:hrstd="t" o:hr="t"/>
        </w:pict>
      </w:r>
    </w:p>
    <w:bookmarkEnd w:id="18"/>
    <w:bookmarkStart w:id="19" w:name="article-8-client-disputes"/>
    <w:p>
      <w:pPr>
        <w:pStyle w:val="Heading3"/>
      </w:pPr>
      <w:r>
        <w:t xml:space="preserve">Article 8 · Client Disputes</w:t>
      </w:r>
    </w:p>
    <w:p>
      <w:pPr>
        <w:pStyle w:val="FirstParagraph"/>
      </w:pPr>
      <w:r>
        <w:t xml:space="preserve">8.1 Client complaints, claims, litigation, or arbitration arising from the content, quality, or effectiveness of the Consulting Services shall be</w:t>
      </w:r>
      <w:r>
        <w:t xml:space="preserve"> </w:t>
      </w:r>
      <w:r>
        <w:rPr>
          <w:b/>
          <w:bCs/>
        </w:rPr>
        <w:t xml:space="preserve">handled by, and are the responsibility of, Party A</w:t>
      </w:r>
      <w:r>
        <w:t xml:space="preserve"> </w:t>
      </w:r>
      <w:r>
        <w:t xml:space="preserve">(Party A bears full performance liability to the Client); however, for Client disputes arising from</w:t>
      </w:r>
      <w:r>
        <w:t xml:space="preserve"> </w:t>
      </w:r>
      <w:r>
        <w:rPr>
          <w:b/>
          <w:bCs/>
        </w:rPr>
        <w:t xml:space="preserve">Party B’s own fault</w:t>
      </w:r>
      <w:r>
        <w:t xml:space="preserve"> </w:t>
      </w:r>
      <w:r>
        <w:t xml:space="preserve">(e.g. Party B’s breach of the agreed service standards, engaging in Circumvention, or other fault) and any resulting losses to Party A, Party A shall have the right to seek reimbursement from Party B.</w:t>
      </w:r>
    </w:p>
    <w:p>
      <w:pPr>
        <w:pStyle w:val="BodyText"/>
      </w:pPr>
      <w:r>
        <w:t xml:space="preserve">8.2 If Party B receives any complaint, claim, or legal document from a Client relating to the scope of services under this Agreement, Party B shall forward it to Party A within</w:t>
      </w:r>
      <w:r>
        <w:t xml:space="preserve"> </w:t>
      </w:r>
      <w:r>
        <w:rPr>
          <w:b/>
          <w:bCs/>
        </w:rPr>
        <w:t xml:space="preserve">[3]</w:t>
      </w:r>
      <w:r>
        <w:t xml:space="preserve"> </w:t>
      </w:r>
      <w:r>
        <w:t xml:space="preserve">business days of receipt, cooperate with Party A in handling the matter, and shall not respond on its own or make any commitments.</w:t>
      </w:r>
    </w:p>
    <w:p>
      <w:r>
        <w:pict>
          <v:rect style="width:0;height:1.5pt" o:hralign="center" o:hrstd="t" o:hr="t"/>
        </w:pict>
      </w:r>
    </w:p>
    <w:bookmarkEnd w:id="19"/>
    <w:bookmarkStart w:id="20" w:name="article-9-liability-for-breach"/>
    <w:p>
      <w:pPr>
        <w:pStyle w:val="Heading3"/>
      </w:pPr>
      <w:r>
        <w:t xml:space="preserve">Article 9 · Liability for Breach</w:t>
      </w:r>
    </w:p>
    <w:p>
      <w:pPr>
        <w:pStyle w:val="FirstParagraph"/>
      </w:pPr>
      <w:r>
        <w:t xml:space="preserve">9.1 If either Party breaches this Agreement, the Parties shall seek to resolve the matter amicably through discussion; if no resolution is reached and the breach causes actual loss to the other Party, the breaching Party shall provide compensation.</w:t>
      </w:r>
    </w:p>
    <w:p>
      <w:pPr>
        <w:pStyle w:val="BodyText"/>
      </w:pPr>
      <w:r>
        <w:t xml:space="preserve">9.2 Neither Party shall be liable for breach where its failure to perform this Agreement results from force majeure, provided that it promptly notifies the other Party and takes reasonable measures to mitigate the loss.</w:t>
      </w:r>
    </w:p>
    <w:p>
      <w:pPr>
        <w:pStyle w:val="BodyText"/>
      </w:pPr>
      <w:r>
        <w:t xml:space="preserve">9.3 Except for liability arising under Article 4 (Confidentiality &amp; Non-Circumvention), either Party’s liability to the other under this Agreement is capped at the total Consultant Fees actually received by Party B under this Agreement in the preceding</w:t>
      </w:r>
      <w:r>
        <w:t xml:space="preserve"> </w:t>
      </w:r>
      <w:r>
        <w:rPr>
          <w:b/>
          <w:bCs/>
        </w:rPr>
        <w:t xml:space="preserve">[6]</w:t>
      </w:r>
      <w:r>
        <w:t xml:space="preserve"> </w:t>
      </w:r>
      <w:r>
        <w:t xml:space="preserve">months (excluding losses caused by intentional misconduct, gross negligence, or breach of Article 4).</w:t>
      </w:r>
    </w:p>
    <w:p>
      <w:r>
        <w:pict>
          <v:rect style="width:0;height:1.5pt" o:hralign="center" o:hrstd="t" o:hr="t"/>
        </w:pict>
      </w:r>
    </w:p>
    <w:bookmarkEnd w:id="20"/>
    <w:bookmarkStart w:id="21" w:name="article-10-term-and-termination"/>
    <w:p>
      <w:pPr>
        <w:pStyle w:val="Heading3"/>
      </w:pPr>
      <w:r>
        <w:t xml:space="preserve">Article 10 · Term and Termination</w:t>
      </w:r>
    </w:p>
    <w:p>
      <w:pPr>
        <w:pStyle w:val="FirstParagraph"/>
      </w:pPr>
      <w:r>
        <w:t xml:space="preserve">10.1 This Agreement takes effect on the date of signature by both Parties and remains in effect for</w:t>
      </w:r>
      <w:r>
        <w:t xml:space="preserve"> </w:t>
      </w:r>
      <w:r>
        <w:rPr>
          <w:b/>
          <w:bCs/>
        </w:rPr>
        <w:t xml:space="preserve">[1] year</w:t>
      </w:r>
      <w:r>
        <w:t xml:space="preserve">; if neither Party raises an objection within</w:t>
      </w:r>
      <w:r>
        <w:t xml:space="preserve"> </w:t>
      </w:r>
      <w:r>
        <w:rPr>
          <w:b/>
          <w:bCs/>
        </w:rPr>
        <w:t xml:space="preserve">[30]</w:t>
      </w:r>
      <w:r>
        <w:t xml:space="preserve"> </w:t>
      </w:r>
      <w:r>
        <w:t xml:space="preserve">days before expiry, the Agreement automatically renews for one additional year.</w:t>
      </w:r>
    </w:p>
    <w:p>
      <w:pPr>
        <w:pStyle w:val="BodyText"/>
      </w:pPr>
      <w:r>
        <w:t xml:space="preserve">10.2 Either Party may terminate this Agreement by giving</w:t>
      </w:r>
      <w:r>
        <w:t xml:space="preserve"> </w:t>
      </w:r>
      <w:r>
        <w:rPr>
          <w:b/>
          <w:bCs/>
        </w:rPr>
        <w:t xml:space="preserve">[30]</w:t>
      </w:r>
      <w:r>
        <w:t xml:space="preserve"> </w:t>
      </w:r>
      <w:r>
        <w:t xml:space="preserve">days’ prior written notice to the other Party; for any Client case that has been assigned but not yet completed, the Parties shall agree on a proper handover or complete the case before termination takes effect.</w:t>
      </w:r>
    </w:p>
    <w:p>
      <w:pPr>
        <w:pStyle w:val="BodyText"/>
      </w:pPr>
      <w:r>
        <w:t xml:space="preserve">10.3 If either Party materially breaches this Agreement (including a material breach of Article 4) and fails to cure the breach within</w:t>
      </w:r>
      <w:r>
        <w:t xml:space="preserve"> </w:t>
      </w:r>
      <w:r>
        <w:rPr>
          <w:b/>
          <w:bCs/>
        </w:rPr>
        <w:t xml:space="preserve">[15]</w:t>
      </w:r>
      <w:r>
        <w:t xml:space="preserve"> </w:t>
      </w:r>
      <w:r>
        <w:t xml:space="preserve">days of written notice, the non-breaching Party may terminate this Agreement immediately.</w:t>
      </w:r>
    </w:p>
    <w:p>
      <w:pPr>
        <w:pStyle w:val="BodyText"/>
      </w:pPr>
      <w:r>
        <w:t xml:space="preserve">10.4</w:t>
      </w:r>
      <w:r>
        <w:t xml:space="preserve"> </w:t>
      </w:r>
      <w:r>
        <w:rPr>
          <w:b/>
          <w:bCs/>
        </w:rPr>
        <w:t xml:space="preserve">Effect of Termination</w:t>
      </w:r>
      <w:r>
        <w:t xml:space="preserve">: Any Consultant Fee unpaid as of termination shall still be paid by Party A in accordance with Article 5; Article 4 (Confidentiality &amp; Non-Circumvention), Article 7 (Intellectual Property), Article 8 (Client Disputes, limited to service matters arising during the term), and Article 9 (Liability for Breach) survive termination of this Agreement.</w:t>
      </w:r>
    </w:p>
    <w:p>
      <w:r>
        <w:pict>
          <v:rect style="width:0;height:1.5pt" o:hralign="center" o:hrstd="t" o:hr="t"/>
        </w:pict>
      </w:r>
    </w:p>
    <w:bookmarkEnd w:id="21"/>
    <w:bookmarkStart w:id="22" w:name="article-11-miscellaneous"/>
    <w:p>
      <w:pPr>
        <w:pStyle w:val="Heading3"/>
      </w:pPr>
      <w:r>
        <w:t xml:space="preserve">Article 11 · Miscellaneous</w:t>
      </w:r>
    </w:p>
    <w:p>
      <w:pPr>
        <w:pStyle w:val="FirstParagraph"/>
      </w:pPr>
      <w:r>
        <w:t xml:space="preserve">11.1</w:t>
      </w:r>
      <w:r>
        <w:t xml:space="preserve"> </w:t>
      </w:r>
      <w:r>
        <w:rPr>
          <w:b/>
          <w:bCs/>
        </w:rPr>
        <w:t xml:space="preserve">Notices</w:t>
      </w:r>
      <w:r>
        <w:t xml:space="preserve">: All notices shall be given in writing (including by email) to the contact details set out at the head of this Agreement, and shall be deemed delivered upon such notice.</w:t>
      </w:r>
    </w:p>
    <w:p>
      <w:pPr>
        <w:pStyle w:val="BodyText"/>
      </w:pPr>
      <w:r>
        <w:t xml:space="preserve">11.2</w:t>
      </w:r>
      <w:r>
        <w:t xml:space="preserve"> </w:t>
      </w:r>
      <w:r>
        <w:rPr>
          <w:b/>
          <w:bCs/>
        </w:rPr>
        <w:t xml:space="preserve">Entire Agreement</w:t>
      </w:r>
      <w:r>
        <w:t xml:space="preserve">: This Agreement (together with any case assignments, appendices, etc. confirmed in writing by the Parties) constitutes the entire agreement between the Parties regarding this cooperation, superseding all prior oral or written understandings.</w:t>
      </w:r>
    </w:p>
    <w:p>
      <w:pPr>
        <w:pStyle w:val="BodyText"/>
      </w:pPr>
      <w:r>
        <w:t xml:space="preserve">11.3</w:t>
      </w:r>
      <w:r>
        <w:t xml:space="preserve"> </w:t>
      </w:r>
      <w:r>
        <w:rPr>
          <w:b/>
          <w:bCs/>
        </w:rPr>
        <w:t xml:space="preserve">Amendment</w:t>
      </w:r>
      <w:r>
        <w:t xml:space="preserve">: Any amendment to this Agreement is effective only if made in writing and signed by both Parties.</w:t>
      </w:r>
    </w:p>
    <w:p>
      <w:pPr>
        <w:pStyle w:val="BodyText"/>
      </w:pPr>
      <w:r>
        <w:t xml:space="preserve">11.4</w:t>
      </w:r>
      <w:r>
        <w:t xml:space="preserve"> </w:t>
      </w:r>
      <w:r>
        <w:rPr>
          <w:b/>
          <w:bCs/>
        </w:rPr>
        <w:t xml:space="preserve">Severability</w:t>
      </w:r>
      <w:r>
        <w:t xml:space="preserve">: If any provision of this Agreement is held invalid, the remaining provisions shall remain in full force and effect.</w:t>
      </w:r>
    </w:p>
    <w:p>
      <w:pPr>
        <w:pStyle w:val="BodyText"/>
      </w:pPr>
      <w:r>
        <w:t xml:space="preserve">11.5</w:t>
      </w:r>
      <w:r>
        <w:t xml:space="preserve"> </w:t>
      </w:r>
      <w:r>
        <w:rPr>
          <w:b/>
          <w:bCs/>
        </w:rPr>
        <w:t xml:space="preserve">Non-Exclusivity</w:t>
      </w:r>
      <w:r>
        <w:t xml:space="preserve">: Except as otherwise agreed in writing, this Agreement does not constitute an exclusive arrangement restricting Party B to working only with Party A; however, Party B’s services with respect to Client cases shall comply with Article 4.</w:t>
      </w:r>
    </w:p>
    <w:p>
      <w:pPr>
        <w:pStyle w:val="BodyText"/>
      </w:pPr>
      <w:r>
        <w:t xml:space="preserve">11.6</w:t>
      </w:r>
      <w:r>
        <w:t xml:space="preserve"> </w:t>
      </w:r>
      <w:r>
        <w:rPr>
          <w:b/>
          <w:bCs/>
        </w:rPr>
        <w:t xml:space="preserve">Language</w:t>
      </w:r>
      <w:r>
        <w:t xml:space="preserve">: This Agreement is prepared in both Chinese and English; in the event of any conflict between the two versions, the</w:t>
      </w:r>
      <w:r>
        <w:t xml:space="preserve"> </w:t>
      </w:r>
      <w:r>
        <w:rPr>
          <w:b/>
          <w:bCs/>
        </w:rPr>
        <w:t xml:space="preserve">Chinese version</w:t>
      </w:r>
      <w:r>
        <w:t xml:space="preserve"> </w:t>
      </w:r>
      <w:r>
        <w:t xml:space="preserve">shall prevail (unless the Parties otherwise agree in writing that the English version shall prevail).</w:t>
      </w:r>
    </w:p>
    <w:p>
      <w:r>
        <w:pict>
          <v:rect style="width:0;height:1.5pt" o:hralign="center" o:hrstd="t" o:hr="t"/>
        </w:pict>
      </w:r>
    </w:p>
    <w:bookmarkEnd w:id="22"/>
    <w:bookmarkStart w:id="23" w:name="signature-page"/>
    <w:p>
      <w:pPr>
        <w:pStyle w:val="Heading3"/>
      </w:pPr>
      <w:r>
        <w:t xml:space="preserve">Signature Page</w:t>
      </w:r>
    </w:p>
    <w:p>
      <w:pPr>
        <w:pStyle w:val="FirstParagraph"/>
      </w:pPr>
      <w:r>
        <w:t xml:space="preserve">This Agreement is executed in two counterparts, one retained by each Party, each having equal legal effect; it takes effect upon signature by both Parties (or their authorized representatives).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 A (JY Tech LLC / JYEdu)</w:t>
            </w:r>
          </w:p>
        </w:tc>
        <w:tc>
          <w:tcPr/>
          <w:p>
            <w:pPr>
              <w:pStyle w:val="Compact"/>
            </w:pPr>
            <w:r>
              <w:t xml:space="preserve">Party B (Saurabh Consultant)</w:t>
            </w:r>
          </w:p>
        </w:tc>
      </w:tr>
      <w:tr>
        <w:tc>
          <w:tcPr/>
          <w:p>
            <w:pPr>
              <w:pStyle w:val="Compact"/>
            </w:pPr>
            <w:r>
              <w:t xml:space="preserve">Authorized Representative (Signature): ____________</w:t>
            </w:r>
          </w:p>
        </w:tc>
        <w:tc>
          <w:tcPr/>
          <w:p>
            <w:pPr>
              <w:pStyle w:val="Compact"/>
            </w:pPr>
            <w:r>
              <w:t xml:space="preserve">Consultant (Signature): ____________</w:t>
            </w:r>
          </w:p>
        </w:tc>
      </w:tr>
      <w:tr>
        <w:tc>
          <w:tcPr/>
          <w:p>
            <w:pPr>
              <w:pStyle w:val="Compact"/>
            </w:pPr>
            <w:r>
              <w:t xml:space="preserve">Title: ________________</w:t>
            </w:r>
          </w:p>
        </w:tc>
        <w:tc>
          <w:tcPr/>
          <w:p>
            <w:pPr>
              <w:pStyle w:val="Compact"/>
            </w:pPr>
            <w:r>
              <w:t xml:space="preserve">Name: ________________</w:t>
            </w:r>
          </w:p>
        </w:tc>
      </w:tr>
      <w:tr>
        <w:tc>
          <w:tcPr/>
          <w:p>
            <w:pPr>
              <w:pStyle w:val="Compact"/>
            </w:pPr>
            <w:r>
              <w:t xml:space="preserve">Date: ____ / ____ / ____</w:t>
            </w:r>
          </w:p>
        </w:tc>
        <w:tc>
          <w:tcPr/>
          <w:p>
            <w:pPr>
              <w:pStyle w:val="Compact"/>
            </w:pPr>
            <w:r>
              <w:t xml:space="preserve">Date: ____ / ____ / ____</w:t>
            </w:r>
          </w:p>
        </w:tc>
      </w:tr>
      <w:tr>
        <w:tc>
          <w:tcPr/>
          <w:p>
            <w:pPr>
              <w:pStyle w:val="Compact"/>
            </w:pPr>
            <w:r>
              <w:t xml:space="preserve">Company Seal:</w:t>
            </w:r>
          </w:p>
        </w:tc>
        <w:tc>
          <w:tcPr/>
          <w:p>
            <w:pPr>
              <w:pStyle w:val="Compact"/>
            </w:pPr>
          </w:p>
        </w:tc>
      </w:tr>
    </w:tbl>
    <w:p>
      <w:r>
        <w:pict>
          <v:rect style="width:0;height:1.5pt" o:hralign="center" o:hrstd="t" o:hr="t"/>
        </w:pict>
      </w:r>
    </w:p>
    <w:p>
      <w:pPr>
        <w:pStyle w:val="BlockText"/>
      </w:pPr>
      <w:r>
        <w:rPr>
          <w:b/>
          <w:bCs/>
        </w:rPr>
        <w:t xml:space="preserve">Disclaimer</w:t>
      </w:r>
      <w:r>
        <w:t xml:space="preserve">: This document is a template for an independent consultant/supplier cooperation agreement, prepared based on the PhD admissions counselling service framework, and does not constitute legal advice. Before formal execution, Party A’s legal counsel should review independent contractor classification (to avoid a finding of de facto employment), tax compliance (e.g. cross-border payments, 1099/W-8 documentation), and the enforceability of the intellectual property assignment provisions, and the blanks in this document (fee structure, payment milestones, liability caps, etc.) should be completed based on the actual terms agreed by the Parties.</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2026-08-22T20:05:36Z</dcterms:created>
  <dcterms:modified xsi:type="dcterms:W3CDTF">2026-08-22T20:05:36Z</dcterms:modified>
</cp:coreProperties>
</file>

<file path=docProps/custom.xml><?xml version="1.0" encoding="utf-8"?>
<Properties xmlns="http://schemas.openxmlformats.org/officeDocument/2006/custom-properties" xmlns:vt="http://schemas.openxmlformats.org/officeDocument/2006/docPropsVTypes"/>
</file>