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D4F0B" w14:textId="3DD3EF60" w:rsidR="00347360" w:rsidRPr="00F749AB" w:rsidRDefault="00347360" w:rsidP="00347360">
      <w:pPr>
        <w:pStyle w:val="Heading2"/>
        <w:numPr>
          <w:ilvl w:val="0"/>
          <w:numId w:val="6"/>
        </w:numPr>
      </w:pPr>
      <w:r w:rsidRPr="004027B4">
        <w:t>Market Summary</w:t>
      </w:r>
    </w:p>
    <w:p w14:paraId="260E1730" w14:textId="77777777" w:rsidR="00347360" w:rsidRPr="004027B4" w:rsidRDefault="00347360" w:rsidP="005705A9">
      <w:pPr>
        <w:pStyle w:val="Heading2"/>
        <w:numPr>
          <w:ilvl w:val="1"/>
          <w:numId w:val="6"/>
        </w:numPr>
      </w:pPr>
      <w:r w:rsidRPr="004027B4">
        <w:t>Market Analysis</w:t>
      </w:r>
    </w:p>
    <w:p w14:paraId="5AADD33E" w14:textId="3C772786" w:rsidR="00347360" w:rsidRPr="004027B4" w:rsidRDefault="009F0059" w:rsidP="00347360">
      <w:pPr>
        <w:rPr>
          <w:rFonts w:ascii="Cambria" w:hAnsi="Cambria"/>
        </w:rPr>
      </w:pPr>
      <w:r>
        <w:rPr>
          <w:rFonts w:ascii="Cambria" w:hAnsi="Cambria"/>
        </w:rPr>
        <w:t>The</w:t>
      </w:r>
      <w:r w:rsidR="00670332" w:rsidRPr="21E4005D">
        <w:rPr>
          <w:rFonts w:ascii="Cambria" w:hAnsi="Cambria"/>
        </w:rPr>
        <w:t xml:space="preserve"> target market </w:t>
      </w:r>
      <w:r>
        <w:rPr>
          <w:rFonts w:ascii="Cambria" w:hAnsi="Cambria"/>
        </w:rPr>
        <w:t xml:space="preserve">for Train and Go </w:t>
      </w:r>
      <w:r w:rsidR="00670332" w:rsidRPr="21E4005D">
        <w:rPr>
          <w:rFonts w:ascii="Cambria" w:hAnsi="Cambria"/>
        </w:rPr>
        <w:t>is people with disabilities learning to use electric wheelchairs</w:t>
      </w:r>
      <w:r w:rsidR="000917A7" w:rsidRPr="21E4005D">
        <w:rPr>
          <w:rFonts w:ascii="Cambria" w:hAnsi="Cambria"/>
        </w:rPr>
        <w:t>.</w:t>
      </w:r>
      <w:r w:rsidR="002A47B7" w:rsidRPr="21E4005D">
        <w:rPr>
          <w:rFonts w:ascii="Cambria" w:hAnsi="Cambria"/>
        </w:rPr>
        <w:t xml:space="preserve"> </w:t>
      </w:r>
      <w:r w:rsidR="00502342">
        <w:rPr>
          <w:rFonts w:ascii="Cambria" w:hAnsi="Cambria"/>
        </w:rPr>
        <w:t xml:space="preserve">With </w:t>
      </w:r>
      <w:r w:rsidR="002A47B7" w:rsidRPr="21E4005D">
        <w:rPr>
          <w:rFonts w:ascii="Cambria" w:hAnsi="Cambria"/>
        </w:rPr>
        <w:t>Train and Go</w:t>
      </w:r>
      <w:r w:rsidR="00502342">
        <w:rPr>
          <w:rFonts w:ascii="Cambria" w:hAnsi="Cambria"/>
        </w:rPr>
        <w:t xml:space="preserve">, </w:t>
      </w:r>
      <w:r w:rsidR="00DD1986">
        <w:rPr>
          <w:rFonts w:ascii="Cambria" w:hAnsi="Cambria"/>
        </w:rPr>
        <w:t>Owl</w:t>
      </w:r>
      <w:r w:rsidR="002A47B7" w:rsidRPr="21E4005D">
        <w:rPr>
          <w:rFonts w:ascii="Cambria" w:hAnsi="Cambria"/>
        </w:rPr>
        <w:t xml:space="preserve"> is</w:t>
      </w:r>
      <w:r w:rsidR="00193304" w:rsidRPr="21E4005D">
        <w:rPr>
          <w:rFonts w:ascii="Cambria" w:hAnsi="Cambria"/>
        </w:rPr>
        <w:t xml:space="preserve"> attempting to </w:t>
      </w:r>
      <w:r w:rsidR="00814280">
        <w:rPr>
          <w:rFonts w:ascii="Cambria" w:hAnsi="Cambria"/>
        </w:rPr>
        <w:t>enter</w:t>
      </w:r>
      <w:r w:rsidR="00814280" w:rsidRPr="21E4005D">
        <w:rPr>
          <w:rFonts w:ascii="Cambria" w:hAnsi="Cambria"/>
        </w:rPr>
        <w:t xml:space="preserve"> </w:t>
      </w:r>
      <w:r w:rsidR="002A47B7" w:rsidRPr="21E4005D">
        <w:rPr>
          <w:rFonts w:ascii="Cambria" w:hAnsi="Cambria"/>
        </w:rPr>
        <w:t xml:space="preserve">the assistive technology industry. </w:t>
      </w:r>
      <w:r w:rsidR="005B0BD4" w:rsidRPr="21E4005D">
        <w:rPr>
          <w:rFonts w:ascii="Cambria" w:hAnsi="Cambria"/>
        </w:rPr>
        <w:t xml:space="preserve">Due to Train and Go’s </w:t>
      </w:r>
      <w:r w:rsidR="00CC6AF6" w:rsidRPr="21E4005D">
        <w:rPr>
          <w:rFonts w:ascii="Cambria" w:hAnsi="Cambria"/>
        </w:rPr>
        <w:t xml:space="preserve">purpose as assistive technology, </w:t>
      </w:r>
      <w:r w:rsidR="005E1765" w:rsidRPr="21E4005D">
        <w:rPr>
          <w:rFonts w:ascii="Cambria" w:hAnsi="Cambria"/>
        </w:rPr>
        <w:t xml:space="preserve">Train and Go </w:t>
      </w:r>
      <w:r w:rsidR="76C21B71" w:rsidRPr="650B7399">
        <w:rPr>
          <w:rFonts w:ascii="Cambria" w:hAnsi="Cambria"/>
        </w:rPr>
        <w:t xml:space="preserve">can be classified </w:t>
      </w:r>
      <w:r w:rsidR="005E1765" w:rsidRPr="21E4005D">
        <w:rPr>
          <w:rFonts w:ascii="Cambria" w:hAnsi="Cambria"/>
        </w:rPr>
        <w:t xml:space="preserve">as a medical necessity for its users. </w:t>
      </w:r>
      <w:r w:rsidR="0F142437" w:rsidRPr="45B758E5">
        <w:rPr>
          <w:rFonts w:ascii="Cambria" w:hAnsi="Cambria"/>
        </w:rPr>
        <w:t xml:space="preserve">This makes it possible </w:t>
      </w:r>
      <w:r w:rsidR="0F142437" w:rsidRPr="2CBEEBB2">
        <w:rPr>
          <w:rFonts w:ascii="Cambria" w:hAnsi="Cambria"/>
        </w:rPr>
        <w:t>for c</w:t>
      </w:r>
      <w:r w:rsidR="34C91FB0" w:rsidRPr="2CBEEBB2">
        <w:rPr>
          <w:rFonts w:ascii="Cambria" w:hAnsi="Cambria"/>
        </w:rPr>
        <w:t xml:space="preserve">ustomers </w:t>
      </w:r>
      <w:r w:rsidR="0B03A2F1" w:rsidRPr="2CBEEBB2">
        <w:rPr>
          <w:rFonts w:ascii="Cambria" w:hAnsi="Cambria"/>
        </w:rPr>
        <w:t>to</w:t>
      </w:r>
      <w:r w:rsidR="00495A71" w:rsidRPr="21E4005D">
        <w:rPr>
          <w:rFonts w:ascii="Cambria" w:hAnsi="Cambria"/>
        </w:rPr>
        <w:t xml:space="preserve"> purchase Train and Go using insurance by writing a letter of medical necessity</w:t>
      </w:r>
      <w:r w:rsidR="00FD0718" w:rsidRPr="21E4005D">
        <w:rPr>
          <w:rFonts w:ascii="Cambria" w:hAnsi="Cambria"/>
        </w:rPr>
        <w:t xml:space="preserve"> to their insurance provider. </w:t>
      </w:r>
    </w:p>
    <w:p w14:paraId="33739F3E" w14:textId="77777777" w:rsidR="006C7AA8" w:rsidRPr="004027B4" w:rsidRDefault="006C7AA8" w:rsidP="00347360">
      <w:pPr>
        <w:rPr>
          <w:rFonts w:ascii="Cambria" w:hAnsi="Cambria"/>
        </w:rPr>
      </w:pPr>
    </w:p>
    <w:p w14:paraId="598DCEF5" w14:textId="77777777" w:rsidR="00347360" w:rsidRPr="004027B4" w:rsidRDefault="00347360" w:rsidP="005705A9">
      <w:pPr>
        <w:pStyle w:val="Heading2"/>
        <w:numPr>
          <w:ilvl w:val="1"/>
          <w:numId w:val="6"/>
        </w:numPr>
      </w:pPr>
      <w:r w:rsidRPr="004027B4">
        <w:t>Market</w:t>
      </w:r>
      <w:r w:rsidR="00582F6D" w:rsidRPr="004027B4">
        <w:t>ing</w:t>
      </w:r>
      <w:r w:rsidRPr="004027B4">
        <w:t xml:space="preserve"> Strategy</w:t>
      </w:r>
    </w:p>
    <w:p w14:paraId="5647946A" w14:textId="5B53A801" w:rsidR="30D1FAE3" w:rsidRDefault="009F0059" w:rsidP="56A24957">
      <w:r>
        <w:t>Owl</w:t>
      </w:r>
      <w:r w:rsidR="00A56954">
        <w:t>’s</w:t>
      </w:r>
      <w:r w:rsidR="005C7F17" w:rsidRPr="005C7F17">
        <w:t xml:space="preserve"> primary marketing strategy for Train and Go will center around cultivating organic growth through the power of word-of-mouth referrals and expert endorsements. We recognize that building a reputation as a reliable and reputable service within our industry is paramount.</w:t>
      </w:r>
      <w:r w:rsidR="002D363C">
        <w:t xml:space="preserve"> </w:t>
      </w:r>
      <w:r w:rsidR="00536FD7">
        <w:t>By having industry professional</w:t>
      </w:r>
      <w:r w:rsidR="00AE55FA">
        <w:t>s</w:t>
      </w:r>
      <w:r w:rsidR="00536FD7">
        <w:t xml:space="preserve"> recommend and </w:t>
      </w:r>
      <w:r w:rsidR="00545587">
        <w:t>promote</w:t>
      </w:r>
      <w:r w:rsidR="00A56954">
        <w:t xml:space="preserve"> Train and Go</w:t>
      </w:r>
      <w:r w:rsidR="00A4550F">
        <w:t xml:space="preserve">, </w:t>
      </w:r>
      <w:r w:rsidR="00614139">
        <w:t xml:space="preserve">customers will have assurance in </w:t>
      </w:r>
      <w:r w:rsidR="00D066CA">
        <w:t>Train and Go’s</w:t>
      </w:r>
      <w:r w:rsidR="00BE6CEA">
        <w:t xml:space="preserve"> quality</w:t>
      </w:r>
      <w:r w:rsidR="00833495">
        <w:t xml:space="preserve"> and performance</w:t>
      </w:r>
      <w:r w:rsidR="00BE6CEA">
        <w:t>.</w:t>
      </w:r>
    </w:p>
    <w:p w14:paraId="7D41225A" w14:textId="77777777" w:rsidR="00574DC8" w:rsidRPr="004027B4" w:rsidRDefault="00574DC8" w:rsidP="00347360">
      <w:pPr>
        <w:rPr>
          <w:rFonts w:ascii="Cambria" w:hAnsi="Cambria"/>
        </w:rPr>
      </w:pPr>
    </w:p>
    <w:p w14:paraId="74C8E625" w14:textId="77777777" w:rsidR="00582F6D" w:rsidRPr="004027B4" w:rsidRDefault="00582F6D" w:rsidP="005705A9">
      <w:pPr>
        <w:pStyle w:val="Heading2"/>
        <w:numPr>
          <w:ilvl w:val="1"/>
          <w:numId w:val="6"/>
        </w:numPr>
      </w:pPr>
      <w:r w:rsidRPr="004027B4">
        <w:t>Sales Projection</w:t>
      </w:r>
    </w:p>
    <w:p w14:paraId="0ABAD0D9" w14:textId="63062228" w:rsidR="00085282" w:rsidRDefault="00F75FED" w:rsidP="4C030999">
      <w:pPr>
        <w:rPr>
          <w:rFonts w:ascii="Cambria" w:hAnsi="Cambria"/>
        </w:rPr>
      </w:pPr>
      <w:r>
        <w:rPr>
          <w:rFonts w:ascii="Cambria" w:hAnsi="Cambria"/>
        </w:rPr>
        <w:t xml:space="preserve">The </w:t>
      </w:r>
      <w:r w:rsidR="00E97100">
        <w:rPr>
          <w:rFonts w:ascii="Cambria" w:hAnsi="Cambria"/>
        </w:rPr>
        <w:t xml:space="preserve">United </w:t>
      </w:r>
      <w:r w:rsidR="00CA0799">
        <w:rPr>
          <w:rFonts w:ascii="Cambria" w:hAnsi="Cambria"/>
        </w:rPr>
        <w:t>States</w:t>
      </w:r>
      <w:r w:rsidR="00E97100">
        <w:rPr>
          <w:rFonts w:ascii="Cambria" w:hAnsi="Cambria"/>
        </w:rPr>
        <w:t xml:space="preserve"> Department of Transportation conducted </w:t>
      </w:r>
      <w:r w:rsidR="00E30E5B">
        <w:rPr>
          <w:rFonts w:ascii="Cambria" w:hAnsi="Cambria"/>
        </w:rPr>
        <w:t xml:space="preserve">the National Household Travel Survey </w:t>
      </w:r>
      <w:r w:rsidR="00E97100">
        <w:rPr>
          <w:rFonts w:ascii="Cambria" w:hAnsi="Cambria"/>
        </w:rPr>
        <w:t xml:space="preserve">in 2017 </w:t>
      </w:r>
      <w:r w:rsidR="00DE1B3C">
        <w:rPr>
          <w:rFonts w:ascii="Cambria" w:hAnsi="Cambria"/>
        </w:rPr>
        <w:t>which</w:t>
      </w:r>
      <w:r w:rsidR="00E97100">
        <w:rPr>
          <w:rFonts w:ascii="Cambria" w:hAnsi="Cambria"/>
        </w:rPr>
        <w:t xml:space="preserve"> estimates 2.</w:t>
      </w:r>
      <w:r w:rsidR="008D155A">
        <w:rPr>
          <w:rFonts w:ascii="Cambria" w:hAnsi="Cambria"/>
        </w:rPr>
        <w:t xml:space="preserve">9 million </w:t>
      </w:r>
      <w:r w:rsidR="00E30E5B">
        <w:rPr>
          <w:rFonts w:ascii="Cambria" w:hAnsi="Cambria"/>
        </w:rPr>
        <w:t>wheelchair users in the United States</w:t>
      </w:r>
      <w:r w:rsidR="00FF57C6">
        <w:rPr>
          <w:rFonts w:ascii="Cambria" w:hAnsi="Cambria"/>
        </w:rPr>
        <w:t xml:space="preserve"> [1]</w:t>
      </w:r>
      <w:r w:rsidR="00E30E5B">
        <w:rPr>
          <w:rFonts w:ascii="Cambria" w:hAnsi="Cambria"/>
        </w:rPr>
        <w:t xml:space="preserve">. </w:t>
      </w:r>
      <w:r w:rsidR="00FF57C6">
        <w:rPr>
          <w:rFonts w:ascii="Cambria" w:hAnsi="Cambria"/>
        </w:rPr>
        <w:t xml:space="preserve">Each of these individuals may </w:t>
      </w:r>
      <w:r w:rsidR="00D81CBC">
        <w:rPr>
          <w:rFonts w:ascii="Cambria" w:hAnsi="Cambria"/>
        </w:rPr>
        <w:t xml:space="preserve">need to purchase a new wheelchair or </w:t>
      </w:r>
      <w:r w:rsidR="004E25A3">
        <w:rPr>
          <w:rFonts w:ascii="Cambria" w:hAnsi="Cambria"/>
        </w:rPr>
        <w:t xml:space="preserve">better learn how to use their existing wheelchair and would thus benefit from </w:t>
      </w:r>
      <w:r w:rsidR="000936FB">
        <w:rPr>
          <w:rFonts w:ascii="Cambria" w:hAnsi="Cambria"/>
        </w:rPr>
        <w:t xml:space="preserve">using </w:t>
      </w:r>
      <w:r w:rsidR="00B20E60">
        <w:rPr>
          <w:rFonts w:ascii="Cambria" w:hAnsi="Cambria"/>
        </w:rPr>
        <w:t>Train and Go</w:t>
      </w:r>
      <w:r w:rsidR="000936FB">
        <w:rPr>
          <w:rFonts w:ascii="Cambria" w:hAnsi="Cambria"/>
        </w:rPr>
        <w:t xml:space="preserve">. </w:t>
      </w:r>
      <w:r w:rsidR="00E30E5B">
        <w:rPr>
          <w:rFonts w:ascii="Cambria" w:hAnsi="Cambria"/>
        </w:rPr>
        <w:t xml:space="preserve">Projecting that </w:t>
      </w:r>
      <w:r w:rsidR="00FF57C6">
        <w:rPr>
          <w:rFonts w:ascii="Cambria" w:hAnsi="Cambria"/>
        </w:rPr>
        <w:t xml:space="preserve">Owl </w:t>
      </w:r>
      <w:r w:rsidR="000936FB">
        <w:rPr>
          <w:rFonts w:ascii="Cambria" w:hAnsi="Cambria"/>
        </w:rPr>
        <w:t xml:space="preserve">can </w:t>
      </w:r>
      <w:r w:rsidR="001E484B">
        <w:rPr>
          <w:rFonts w:ascii="Cambria" w:hAnsi="Cambria"/>
        </w:rPr>
        <w:t xml:space="preserve">converse </w:t>
      </w:r>
      <w:r w:rsidR="0033218E">
        <w:rPr>
          <w:rFonts w:ascii="Cambria" w:hAnsi="Cambria"/>
        </w:rPr>
        <w:t xml:space="preserve">with clinicians </w:t>
      </w:r>
      <w:r w:rsidR="00FF57C6">
        <w:rPr>
          <w:rFonts w:ascii="Cambria" w:hAnsi="Cambria"/>
        </w:rPr>
        <w:t xml:space="preserve">resulting in </w:t>
      </w:r>
      <w:r w:rsidR="00675785">
        <w:rPr>
          <w:rFonts w:ascii="Cambria" w:hAnsi="Cambria"/>
        </w:rPr>
        <w:t>0</w:t>
      </w:r>
      <w:r w:rsidR="00771F09">
        <w:rPr>
          <w:rFonts w:ascii="Cambria" w:hAnsi="Cambria"/>
        </w:rPr>
        <w:t>.</w:t>
      </w:r>
      <w:r w:rsidR="00135FA9">
        <w:rPr>
          <w:rFonts w:ascii="Cambria" w:hAnsi="Cambria"/>
        </w:rPr>
        <w:t>05</w:t>
      </w:r>
      <w:r w:rsidR="00675785">
        <w:rPr>
          <w:rFonts w:ascii="Cambria" w:hAnsi="Cambria"/>
        </w:rPr>
        <w:t>% of the population of wheelchair users</w:t>
      </w:r>
      <w:r w:rsidR="001E484B">
        <w:rPr>
          <w:rFonts w:ascii="Cambria" w:hAnsi="Cambria"/>
        </w:rPr>
        <w:t xml:space="preserve"> </w:t>
      </w:r>
      <w:r w:rsidR="00FF57C6">
        <w:rPr>
          <w:rFonts w:ascii="Cambria" w:hAnsi="Cambria"/>
        </w:rPr>
        <w:t xml:space="preserve">purchasing Owl’s </w:t>
      </w:r>
      <w:r w:rsidR="001E484B">
        <w:rPr>
          <w:rFonts w:ascii="Cambria" w:hAnsi="Cambria"/>
        </w:rPr>
        <w:t>product</w:t>
      </w:r>
      <w:r w:rsidR="000A3BA5">
        <w:rPr>
          <w:rFonts w:ascii="Cambria" w:hAnsi="Cambria"/>
        </w:rPr>
        <w:t xml:space="preserve"> within </w:t>
      </w:r>
      <w:r w:rsidR="00085282">
        <w:rPr>
          <w:rFonts w:ascii="Cambria" w:hAnsi="Cambria"/>
        </w:rPr>
        <w:t>the</w:t>
      </w:r>
      <w:r w:rsidR="000A3BA5">
        <w:rPr>
          <w:rFonts w:ascii="Cambria" w:hAnsi="Cambria"/>
        </w:rPr>
        <w:t xml:space="preserve"> first year, Train and Go would have a first-year sales figure of </w:t>
      </w:r>
      <w:r w:rsidR="00C239C9">
        <w:rPr>
          <w:rFonts w:ascii="Cambria" w:hAnsi="Cambria"/>
        </w:rPr>
        <w:t>1,450 units</w:t>
      </w:r>
      <w:r w:rsidR="001E484B">
        <w:rPr>
          <w:rFonts w:ascii="Cambria" w:hAnsi="Cambria"/>
        </w:rPr>
        <w:t xml:space="preserve">. </w:t>
      </w:r>
      <w:r w:rsidR="00686CF9">
        <w:rPr>
          <w:rFonts w:ascii="Cambria" w:hAnsi="Cambria"/>
        </w:rPr>
        <w:t xml:space="preserve">Assuming 10 new users per previous user </w:t>
      </w:r>
      <w:r w:rsidR="00110AD4">
        <w:rPr>
          <w:rFonts w:ascii="Cambria" w:hAnsi="Cambria"/>
        </w:rPr>
        <w:t xml:space="preserve">each </w:t>
      </w:r>
      <w:r w:rsidR="00686CF9">
        <w:rPr>
          <w:rFonts w:ascii="Cambria" w:hAnsi="Cambria"/>
        </w:rPr>
        <w:t>year</w:t>
      </w:r>
      <w:r w:rsidR="00110AD4">
        <w:rPr>
          <w:rFonts w:ascii="Cambria" w:hAnsi="Cambria"/>
        </w:rPr>
        <w:t xml:space="preserve"> given clinician influence</w:t>
      </w:r>
      <w:r w:rsidR="00B20E60">
        <w:rPr>
          <w:rFonts w:ascii="Cambria" w:hAnsi="Cambria"/>
        </w:rPr>
        <w:t xml:space="preserve">, </w:t>
      </w:r>
      <w:r w:rsidR="00477C44">
        <w:rPr>
          <w:rFonts w:ascii="Cambria" w:hAnsi="Cambria"/>
        </w:rPr>
        <w:t xml:space="preserve">Figure 4.1 </w:t>
      </w:r>
      <w:r w:rsidR="009F0059">
        <w:rPr>
          <w:rFonts w:ascii="Cambria" w:hAnsi="Cambria"/>
        </w:rPr>
        <w:t xml:space="preserve">illustrates </w:t>
      </w:r>
      <w:r w:rsidR="00062396">
        <w:rPr>
          <w:rFonts w:ascii="Cambria" w:hAnsi="Cambria"/>
        </w:rPr>
        <w:t xml:space="preserve">a three-year </w:t>
      </w:r>
      <w:r w:rsidR="009F0059">
        <w:rPr>
          <w:rFonts w:ascii="Cambria" w:hAnsi="Cambria"/>
        </w:rPr>
        <w:t>sales projection for Train and Go</w:t>
      </w:r>
      <w:r w:rsidR="007F1097">
        <w:rPr>
          <w:rFonts w:ascii="Cambria" w:hAnsi="Cambria"/>
        </w:rPr>
        <w:t>, resulting in 145,000 sales in the third year</w:t>
      </w:r>
      <w:r w:rsidR="009F0059">
        <w:rPr>
          <w:rFonts w:ascii="Cambria" w:hAnsi="Cambria"/>
        </w:rPr>
        <w:t>.</w:t>
      </w:r>
    </w:p>
    <w:p w14:paraId="71E37E10" w14:textId="5955DE9A" w:rsidR="005B6F71" w:rsidRDefault="002F6895" w:rsidP="4C030999">
      <w:pPr>
        <w:rPr>
          <w:rFonts w:ascii="Cambria" w:hAnsi="Cambria"/>
        </w:rPr>
      </w:pPr>
      <w:r>
        <w:rPr>
          <w:rFonts w:ascii="Cambria" w:hAnsi="Cambria"/>
          <w:noProof/>
        </w:rPr>
        <w:lastRenderedPageBreak/>
        <w:drawing>
          <wp:inline distT="0" distB="0" distL="0" distR="0" wp14:anchorId="4E499C2D" wp14:editId="132E3B53">
            <wp:extent cx="5486400" cy="3200400"/>
            <wp:effectExtent l="0" t="0" r="12700" b="12700"/>
            <wp:docPr id="33197717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B02D989" w14:textId="625F5F9A" w:rsidR="00C92676" w:rsidRDefault="00C92676" w:rsidP="00C92676">
      <w:pPr>
        <w:jc w:val="center"/>
        <w:rPr>
          <w:rFonts w:ascii="Cambria" w:hAnsi="Cambria"/>
        </w:rPr>
      </w:pPr>
      <w:r>
        <w:rPr>
          <w:rFonts w:ascii="Cambria" w:hAnsi="Cambria"/>
        </w:rPr>
        <w:t>Figure 4.1</w:t>
      </w:r>
      <w:r w:rsidR="00E72A2A">
        <w:rPr>
          <w:rFonts w:ascii="Cambria" w:hAnsi="Cambria"/>
        </w:rPr>
        <w:t xml:space="preserve"> – Three-Year Sales Projection</w:t>
      </w:r>
    </w:p>
    <w:p w14:paraId="4671D277" w14:textId="424AD162" w:rsidR="7AEC6FBB" w:rsidRDefault="00F836FD" w:rsidP="4C030999">
      <w:pPr>
        <w:rPr>
          <w:rFonts w:ascii="Cambria" w:hAnsi="Cambria"/>
        </w:rPr>
      </w:pPr>
      <w:r>
        <w:rPr>
          <w:rFonts w:ascii="Cambria" w:hAnsi="Cambria"/>
        </w:rPr>
        <w:t xml:space="preserve">Considering the three-year projected sales, the $70 </w:t>
      </w:r>
      <w:r w:rsidR="0020136D">
        <w:rPr>
          <w:rFonts w:ascii="Cambria" w:hAnsi="Cambria"/>
        </w:rPr>
        <w:t>materials</w:t>
      </w:r>
      <w:r>
        <w:rPr>
          <w:rFonts w:ascii="Cambria" w:hAnsi="Cambria"/>
        </w:rPr>
        <w:t xml:space="preserve"> cost, and a $30 labor cost per product, </w:t>
      </w:r>
      <w:r w:rsidR="7AEC6FBB" w:rsidRPr="4C030999">
        <w:rPr>
          <w:rFonts w:ascii="Cambria" w:hAnsi="Cambria"/>
        </w:rPr>
        <w:t xml:space="preserve">Train and Go’s target market price is $200 dollars. </w:t>
      </w:r>
      <w:r>
        <w:rPr>
          <w:rFonts w:ascii="Cambria" w:hAnsi="Cambria"/>
        </w:rPr>
        <w:t>A price of $200</w:t>
      </w:r>
      <w:r w:rsidR="7AEC6FBB" w:rsidRPr="4C030999">
        <w:rPr>
          <w:rFonts w:ascii="Cambria" w:hAnsi="Cambria"/>
        </w:rPr>
        <w:t xml:space="preserve"> leaves Owl with a 100% profit margin that can be reinvested into t</w:t>
      </w:r>
      <w:r w:rsidR="7D43A2EE" w:rsidRPr="4C030999">
        <w:rPr>
          <w:rFonts w:ascii="Cambria" w:hAnsi="Cambria"/>
        </w:rPr>
        <w:t>he company.</w:t>
      </w:r>
      <w:r w:rsidR="003B6D53">
        <w:rPr>
          <w:rFonts w:ascii="Cambria" w:hAnsi="Cambria"/>
        </w:rPr>
        <w:t xml:space="preserve"> </w:t>
      </w:r>
      <w:r w:rsidR="00CD762C">
        <w:rPr>
          <w:rFonts w:ascii="Cambria" w:hAnsi="Cambria"/>
        </w:rPr>
        <w:t xml:space="preserve">Owl will earn $145,000 of </w:t>
      </w:r>
      <w:r w:rsidR="006D5A5E">
        <w:rPr>
          <w:rFonts w:ascii="Cambria" w:hAnsi="Cambria"/>
        </w:rPr>
        <w:t>profit</w:t>
      </w:r>
      <w:r w:rsidR="003D5770">
        <w:rPr>
          <w:rFonts w:ascii="Cambria" w:hAnsi="Cambria"/>
        </w:rPr>
        <w:t xml:space="preserve"> in the first year</w:t>
      </w:r>
      <w:r w:rsidR="00AB2165">
        <w:rPr>
          <w:rFonts w:ascii="Cambria" w:hAnsi="Cambria"/>
        </w:rPr>
        <w:t xml:space="preserve"> at an overall loss</w:t>
      </w:r>
      <w:r w:rsidR="006D5A5E">
        <w:rPr>
          <w:rFonts w:ascii="Cambria" w:hAnsi="Cambria"/>
        </w:rPr>
        <w:t xml:space="preserve">, </w:t>
      </w:r>
      <w:r w:rsidR="00AB2165">
        <w:rPr>
          <w:rFonts w:ascii="Cambria" w:hAnsi="Cambria"/>
        </w:rPr>
        <w:t>but</w:t>
      </w:r>
      <w:r w:rsidR="006D5A5E">
        <w:rPr>
          <w:rFonts w:ascii="Cambria" w:hAnsi="Cambria"/>
        </w:rPr>
        <w:t xml:space="preserve"> with $14.5 million</w:t>
      </w:r>
      <w:r w:rsidR="003D5770">
        <w:rPr>
          <w:rFonts w:ascii="Cambria" w:hAnsi="Cambria"/>
        </w:rPr>
        <w:t xml:space="preserve"> annually after 3 years</w:t>
      </w:r>
      <w:r w:rsidR="00AB2165">
        <w:rPr>
          <w:rFonts w:ascii="Cambria" w:hAnsi="Cambria"/>
        </w:rPr>
        <w:t xml:space="preserve"> Owl will be able to pay back debts in full</w:t>
      </w:r>
      <w:r w:rsidR="003D5770">
        <w:rPr>
          <w:rFonts w:ascii="Cambria" w:hAnsi="Cambria"/>
        </w:rPr>
        <w:t>.</w:t>
      </w:r>
    </w:p>
    <w:p w14:paraId="771F5B9C" w14:textId="0F85B29F" w:rsidR="00582F6D" w:rsidRPr="004027B4" w:rsidRDefault="00582F6D" w:rsidP="3ACBC8AC"/>
    <w:p w14:paraId="090A653D" w14:textId="77777777" w:rsidR="00582F6D" w:rsidRPr="004027B4" w:rsidRDefault="00582F6D" w:rsidP="005705A9">
      <w:pPr>
        <w:pStyle w:val="Heading2"/>
        <w:numPr>
          <w:ilvl w:val="1"/>
          <w:numId w:val="6"/>
        </w:numPr>
      </w:pPr>
      <w:r w:rsidRPr="004027B4">
        <w:t>Manufacturing and Distribution Strategy</w:t>
      </w:r>
    </w:p>
    <w:p w14:paraId="7A5A5812" w14:textId="5E396388" w:rsidR="00347360" w:rsidRPr="004027B4" w:rsidRDefault="00BF3E51" w:rsidP="00347360">
      <w:pPr>
        <w:rPr>
          <w:rFonts w:ascii="Cambria" w:hAnsi="Cambria"/>
        </w:rPr>
      </w:pPr>
      <w:r>
        <w:rPr>
          <w:rFonts w:ascii="Cambria" w:hAnsi="Cambria"/>
        </w:rPr>
        <w:t>Train and Go will be made and packaged at the Owl corporate office.</w:t>
      </w:r>
      <w:r w:rsidR="00194B16">
        <w:rPr>
          <w:rFonts w:ascii="Cambria" w:hAnsi="Cambria"/>
        </w:rPr>
        <w:t xml:space="preserve"> </w:t>
      </w:r>
      <w:r w:rsidR="001057EC">
        <w:rPr>
          <w:rFonts w:ascii="Cambria" w:hAnsi="Cambria"/>
        </w:rPr>
        <w:t xml:space="preserve">The assembly process will consist of </w:t>
      </w:r>
      <w:r w:rsidR="00AF3A7A">
        <w:rPr>
          <w:rFonts w:ascii="Cambria" w:hAnsi="Cambria"/>
        </w:rPr>
        <w:t>soldering</w:t>
      </w:r>
      <w:r w:rsidR="001057EC">
        <w:rPr>
          <w:rFonts w:ascii="Cambria" w:hAnsi="Cambria"/>
        </w:rPr>
        <w:t>, wiring</w:t>
      </w:r>
      <w:r w:rsidR="0077384F">
        <w:rPr>
          <w:rFonts w:ascii="Cambria" w:hAnsi="Cambria"/>
        </w:rPr>
        <w:t>,</w:t>
      </w:r>
      <w:r w:rsidR="001057EC">
        <w:rPr>
          <w:rFonts w:ascii="Cambria" w:hAnsi="Cambria"/>
        </w:rPr>
        <w:t xml:space="preserve"> final assembly</w:t>
      </w:r>
      <w:r w:rsidR="0077384F">
        <w:rPr>
          <w:rFonts w:ascii="Cambria" w:hAnsi="Cambria"/>
        </w:rPr>
        <w:t>, testing, and packaging</w:t>
      </w:r>
      <w:r w:rsidR="001057EC">
        <w:rPr>
          <w:rFonts w:ascii="Cambria" w:hAnsi="Cambria"/>
        </w:rPr>
        <w:t xml:space="preserve"> station</w:t>
      </w:r>
      <w:r w:rsidR="00BA53DB">
        <w:rPr>
          <w:rFonts w:ascii="Cambria" w:hAnsi="Cambria"/>
        </w:rPr>
        <w:t xml:space="preserve">s. The soldering and wiring stations will provide a steady supply of </w:t>
      </w:r>
      <w:r w:rsidR="00384BA1">
        <w:rPr>
          <w:rFonts w:ascii="Cambria" w:hAnsi="Cambria"/>
        </w:rPr>
        <w:t>sub-parts</w:t>
      </w:r>
      <w:r w:rsidR="00BA53DB">
        <w:rPr>
          <w:rFonts w:ascii="Cambria" w:hAnsi="Cambria"/>
        </w:rPr>
        <w:t xml:space="preserve"> to the final assembly station. After leaving </w:t>
      </w:r>
      <w:r w:rsidR="005E4D51">
        <w:rPr>
          <w:rFonts w:ascii="Cambria" w:hAnsi="Cambria"/>
        </w:rPr>
        <w:t xml:space="preserve">the </w:t>
      </w:r>
      <w:r w:rsidR="00BA53DB">
        <w:rPr>
          <w:rFonts w:ascii="Cambria" w:hAnsi="Cambria"/>
        </w:rPr>
        <w:t>final assembly</w:t>
      </w:r>
      <w:r w:rsidR="005E4D51">
        <w:rPr>
          <w:rFonts w:ascii="Cambria" w:hAnsi="Cambria"/>
        </w:rPr>
        <w:t xml:space="preserve"> station</w:t>
      </w:r>
      <w:r w:rsidR="00BA53DB">
        <w:rPr>
          <w:rFonts w:ascii="Cambria" w:hAnsi="Cambria"/>
        </w:rPr>
        <w:t xml:space="preserve">, </w:t>
      </w:r>
      <w:r w:rsidR="00DA1059">
        <w:rPr>
          <w:rFonts w:ascii="Cambria" w:hAnsi="Cambria"/>
        </w:rPr>
        <w:t xml:space="preserve">the products will go to the testing station where their function will be verified. </w:t>
      </w:r>
      <w:r w:rsidR="00480922">
        <w:rPr>
          <w:rFonts w:ascii="Cambria" w:hAnsi="Cambria"/>
        </w:rPr>
        <w:t xml:space="preserve"> </w:t>
      </w:r>
      <w:r w:rsidR="00424E9B">
        <w:rPr>
          <w:rFonts w:ascii="Cambria" w:hAnsi="Cambria"/>
        </w:rPr>
        <w:t xml:space="preserve">Any products that fail testing will be sent to the appropriate station for rework or to the scrap bin if rework is not possible. </w:t>
      </w:r>
      <w:r w:rsidR="005F0574">
        <w:rPr>
          <w:rFonts w:ascii="Cambria" w:hAnsi="Cambria"/>
        </w:rPr>
        <w:t xml:space="preserve">The products that pass testing will </w:t>
      </w:r>
      <w:r w:rsidR="001E3FFC">
        <w:rPr>
          <w:rFonts w:ascii="Cambria" w:hAnsi="Cambria"/>
        </w:rPr>
        <w:t>then go to the packaging station, where they will be made ready to ship. The products</w:t>
      </w:r>
      <w:r>
        <w:rPr>
          <w:rFonts w:ascii="Cambria" w:hAnsi="Cambria"/>
        </w:rPr>
        <w:t xml:space="preserve"> will then be shipped from the Starkville post office. </w:t>
      </w:r>
      <w:r w:rsidR="00412CF8">
        <w:rPr>
          <w:rFonts w:ascii="Cambria" w:hAnsi="Cambria"/>
        </w:rPr>
        <w:t xml:space="preserve">For the first year, all executives </w:t>
      </w:r>
      <w:r w:rsidR="00913E3D">
        <w:rPr>
          <w:rFonts w:ascii="Cambria" w:hAnsi="Cambria"/>
        </w:rPr>
        <w:t xml:space="preserve">will </w:t>
      </w:r>
      <w:r w:rsidR="00412CF8">
        <w:rPr>
          <w:rFonts w:ascii="Cambria" w:hAnsi="Cambria"/>
        </w:rPr>
        <w:t xml:space="preserve">work on the floor. Since there are 5 stations, an additional worker will need to be hired. This </w:t>
      </w:r>
      <w:r w:rsidR="000564D6">
        <w:rPr>
          <w:rFonts w:ascii="Cambria" w:hAnsi="Cambria"/>
        </w:rPr>
        <w:t>production assistant</w:t>
      </w:r>
      <w:r w:rsidR="00412CF8">
        <w:rPr>
          <w:rFonts w:ascii="Cambria" w:hAnsi="Cambria"/>
        </w:rPr>
        <w:t xml:space="preserve"> will be </w:t>
      </w:r>
      <w:r w:rsidR="003013CB">
        <w:rPr>
          <w:rFonts w:ascii="Cambria" w:hAnsi="Cambria"/>
        </w:rPr>
        <w:t>paid</w:t>
      </w:r>
      <w:r w:rsidR="00412CF8">
        <w:rPr>
          <w:rFonts w:ascii="Cambria" w:hAnsi="Cambria"/>
        </w:rPr>
        <w:t xml:space="preserve"> $14 an hour. If they do well, it is possible for them t</w:t>
      </w:r>
      <w:r w:rsidR="003013CB">
        <w:rPr>
          <w:rFonts w:ascii="Cambria" w:hAnsi="Cambria"/>
        </w:rPr>
        <w:t xml:space="preserve">o be promoted to the role of </w:t>
      </w:r>
      <w:r w:rsidR="00412CF8">
        <w:rPr>
          <w:rFonts w:ascii="Cambria" w:hAnsi="Cambria"/>
        </w:rPr>
        <w:t xml:space="preserve">production manager </w:t>
      </w:r>
      <w:r w:rsidR="00C65621">
        <w:rPr>
          <w:rFonts w:ascii="Cambria" w:hAnsi="Cambria"/>
        </w:rPr>
        <w:t xml:space="preserve">in year </w:t>
      </w:r>
      <w:r w:rsidR="00412CF8">
        <w:rPr>
          <w:rFonts w:ascii="Cambria" w:hAnsi="Cambria"/>
        </w:rPr>
        <w:t>3.</w:t>
      </w:r>
      <w:r w:rsidR="008A7426">
        <w:rPr>
          <w:rFonts w:ascii="Cambria" w:hAnsi="Cambria"/>
        </w:rPr>
        <w:t xml:space="preserve"> By the second year, all five stations will be </w:t>
      </w:r>
      <w:r w:rsidR="00B62060">
        <w:rPr>
          <w:rFonts w:ascii="Cambria" w:hAnsi="Cambria"/>
        </w:rPr>
        <w:t xml:space="preserve">manned by </w:t>
      </w:r>
      <w:r w:rsidR="00313EC7">
        <w:rPr>
          <w:rFonts w:ascii="Cambria" w:hAnsi="Cambria"/>
        </w:rPr>
        <w:t xml:space="preserve">2 </w:t>
      </w:r>
      <w:r w:rsidR="00E0581C">
        <w:rPr>
          <w:rFonts w:ascii="Cambria" w:hAnsi="Cambria"/>
        </w:rPr>
        <w:t>hourly workers</w:t>
      </w:r>
      <w:r w:rsidR="004B1B4C">
        <w:rPr>
          <w:rFonts w:ascii="Cambria" w:hAnsi="Cambria"/>
        </w:rPr>
        <w:t xml:space="preserve"> for a total of 11 </w:t>
      </w:r>
      <w:r w:rsidR="008C29F7">
        <w:rPr>
          <w:rFonts w:ascii="Cambria" w:hAnsi="Cambria"/>
        </w:rPr>
        <w:t>employees on the floor</w:t>
      </w:r>
      <w:r w:rsidR="00E0581C">
        <w:rPr>
          <w:rFonts w:ascii="Cambria" w:hAnsi="Cambria"/>
        </w:rPr>
        <w:t xml:space="preserve">. </w:t>
      </w:r>
      <w:r w:rsidR="00257352">
        <w:rPr>
          <w:rFonts w:ascii="Cambria" w:hAnsi="Cambria"/>
        </w:rPr>
        <w:t xml:space="preserve">The first </w:t>
      </w:r>
      <w:r w:rsidR="002C173D">
        <w:rPr>
          <w:rFonts w:ascii="Cambria" w:hAnsi="Cambria"/>
        </w:rPr>
        <w:t xml:space="preserve">worker will be team </w:t>
      </w:r>
      <w:r w:rsidR="00B17E82">
        <w:rPr>
          <w:rFonts w:ascii="Cambria" w:hAnsi="Cambria"/>
        </w:rPr>
        <w:t>leader and</w:t>
      </w:r>
      <w:r w:rsidR="002C173D">
        <w:rPr>
          <w:rFonts w:ascii="Cambria" w:hAnsi="Cambria"/>
        </w:rPr>
        <w:t xml:space="preserve"> will be responsible for meeting production goals. </w:t>
      </w:r>
      <w:r w:rsidR="00313EC7">
        <w:rPr>
          <w:rFonts w:ascii="Cambria" w:hAnsi="Cambria"/>
        </w:rPr>
        <w:t xml:space="preserve">By year 3, the original </w:t>
      </w:r>
      <w:r w:rsidR="008D39D0">
        <w:rPr>
          <w:rFonts w:ascii="Cambria" w:hAnsi="Cambria"/>
        </w:rPr>
        <w:t xml:space="preserve">worker will be promoted to </w:t>
      </w:r>
      <w:r w:rsidR="00A67F3C">
        <w:rPr>
          <w:rFonts w:ascii="Cambria" w:hAnsi="Cambria"/>
        </w:rPr>
        <w:t xml:space="preserve">production manager, and </w:t>
      </w:r>
      <w:r w:rsidR="000C0C5B">
        <w:rPr>
          <w:rFonts w:ascii="Cambria" w:hAnsi="Cambria"/>
        </w:rPr>
        <w:t>each station will consist of a team of 5</w:t>
      </w:r>
      <w:r w:rsidR="00C07A23">
        <w:rPr>
          <w:rFonts w:ascii="Cambria" w:hAnsi="Cambria"/>
        </w:rPr>
        <w:t xml:space="preserve"> for a total of </w:t>
      </w:r>
      <w:r w:rsidR="00626A1F">
        <w:rPr>
          <w:rFonts w:ascii="Cambria" w:hAnsi="Cambria"/>
        </w:rPr>
        <w:t>26 employees on the floor</w:t>
      </w:r>
      <w:r w:rsidR="000C0C5B">
        <w:rPr>
          <w:rFonts w:ascii="Cambria" w:hAnsi="Cambria"/>
        </w:rPr>
        <w:t xml:space="preserve">. </w:t>
      </w:r>
    </w:p>
    <w:p w14:paraId="2B0761E9" w14:textId="29DC83FF" w:rsidR="00347360" w:rsidRPr="00CC088C" w:rsidRDefault="00347360" w:rsidP="00347360">
      <w:pPr>
        <w:pStyle w:val="Heading2"/>
        <w:numPr>
          <w:ilvl w:val="0"/>
          <w:numId w:val="6"/>
        </w:numPr>
      </w:pPr>
      <w:r w:rsidRPr="004027B4">
        <w:lastRenderedPageBreak/>
        <w:t>Organization Overview</w:t>
      </w:r>
    </w:p>
    <w:p w14:paraId="55440381" w14:textId="77777777" w:rsidR="00347360" w:rsidRPr="004027B4" w:rsidRDefault="00347360" w:rsidP="005705A9">
      <w:pPr>
        <w:pStyle w:val="Heading2"/>
        <w:numPr>
          <w:ilvl w:val="1"/>
          <w:numId w:val="6"/>
        </w:numPr>
      </w:pPr>
      <w:r w:rsidRPr="004027B4">
        <w:t>Company Structure</w:t>
      </w:r>
    </w:p>
    <w:p w14:paraId="7611D873" w14:textId="74997828" w:rsidR="00E65751" w:rsidRDefault="00E65751" w:rsidP="00E65751">
      <w:r>
        <w:t>Owl’s board of directors consists of the CEO, CFO, COO, CSCO, and anyone appointed by the board including investors. The board of directors has full joint ownership of Owl. The board is tasked with overseeing corporate activities and judging performance. Members of the board must sign a noncompete and a nondisclosure agreement upon appointment. Figure 5.1 depicts the responsibilities of each member of the board of directors.</w:t>
      </w:r>
    </w:p>
    <w:p w14:paraId="2D47603A" w14:textId="3B688C19" w:rsidR="00347360" w:rsidRPr="004027B4" w:rsidRDefault="00347360" w:rsidP="00347360">
      <w:pPr>
        <w:rPr>
          <w:rFonts w:ascii="Cambria" w:hAnsi="Cambria"/>
        </w:rPr>
      </w:pPr>
    </w:p>
    <w:p w14:paraId="26436E48" w14:textId="320FDFA0" w:rsidR="00347360" w:rsidRPr="004027B4" w:rsidRDefault="48483D49" w:rsidP="4C030999">
      <w:pPr>
        <w:jc w:val="center"/>
      </w:pPr>
      <w:r>
        <w:rPr>
          <w:noProof/>
        </w:rPr>
        <w:drawing>
          <wp:inline distT="0" distB="0" distL="0" distR="0" wp14:anchorId="18AB3A63" wp14:editId="61B3DB71">
            <wp:extent cx="4572000" cy="2990850"/>
            <wp:effectExtent l="0" t="0" r="0" b="0"/>
            <wp:docPr id="1885981626" name="Picture 1885981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990850"/>
                    </a:xfrm>
                    <a:prstGeom prst="rect">
                      <a:avLst/>
                    </a:prstGeom>
                  </pic:spPr>
                </pic:pic>
              </a:graphicData>
            </a:graphic>
          </wp:inline>
        </w:drawing>
      </w:r>
    </w:p>
    <w:p w14:paraId="627C086C" w14:textId="5BF4AD0D" w:rsidR="00F043C4" w:rsidRPr="004027B4" w:rsidRDefault="00F043C4" w:rsidP="4C030999">
      <w:pPr>
        <w:jc w:val="center"/>
      </w:pPr>
      <w:r>
        <w:t xml:space="preserve">Figure 5.1 </w:t>
      </w:r>
      <w:r w:rsidR="00B51376">
        <w:t>–</w:t>
      </w:r>
      <w:r>
        <w:t xml:space="preserve"> </w:t>
      </w:r>
      <w:r w:rsidR="00B51376">
        <w:t>Responsibilities of the Board of Directors</w:t>
      </w:r>
    </w:p>
    <w:p w14:paraId="096D07F3" w14:textId="5672B2DF" w:rsidR="4C030999" w:rsidRDefault="003C6E93" w:rsidP="4C030999">
      <w:r>
        <w:t xml:space="preserve">The </w:t>
      </w:r>
      <w:r w:rsidR="2DB5E50F">
        <w:t>Chief Executive Officer (CEO) is responsible for ma</w:t>
      </w:r>
      <w:r w:rsidR="096AEB68">
        <w:t xml:space="preserve">king major corporate decisions, managing </w:t>
      </w:r>
      <w:r w:rsidR="00080F95">
        <w:t>overall</w:t>
      </w:r>
      <w:r w:rsidR="096AEB68">
        <w:t xml:space="preserve"> operations, and setting the company’s strategic direction.</w:t>
      </w:r>
      <w:r>
        <w:t xml:space="preserve"> The </w:t>
      </w:r>
      <w:r w:rsidR="096AEB68">
        <w:t xml:space="preserve">Chief Financial Officer (CFO) is </w:t>
      </w:r>
      <w:r w:rsidR="6C40B283">
        <w:t xml:space="preserve">the </w:t>
      </w:r>
      <w:r w:rsidR="4454368A">
        <w:t xml:space="preserve">financial controller who handles </w:t>
      </w:r>
      <w:r w:rsidR="00C04146">
        <w:t>everything</w:t>
      </w:r>
      <w:r w:rsidR="4454368A">
        <w:t xml:space="preserve"> relating to cash flow, financial planning, and tax</w:t>
      </w:r>
      <w:r w:rsidR="00014442">
        <w:t>es</w:t>
      </w:r>
      <w:r w:rsidR="4454368A">
        <w:t>.</w:t>
      </w:r>
      <w:r w:rsidR="00CF1363">
        <w:t xml:space="preserve"> The </w:t>
      </w:r>
      <w:r w:rsidR="4454368A">
        <w:t xml:space="preserve">Chief </w:t>
      </w:r>
      <w:r w:rsidR="62F3276B">
        <w:t>Operating</w:t>
      </w:r>
      <w:r w:rsidR="4454368A">
        <w:t xml:space="preserve"> Officer (COO) is tasked with overseeing the day-to-day administrative and operational </w:t>
      </w:r>
      <w:r w:rsidR="00080F95">
        <w:t>functions</w:t>
      </w:r>
      <w:r w:rsidR="4454368A">
        <w:t xml:space="preserve"> of the </w:t>
      </w:r>
      <w:r w:rsidR="005B313F">
        <w:t>business.</w:t>
      </w:r>
      <w:r w:rsidR="00CF1363">
        <w:t xml:space="preserve"> The </w:t>
      </w:r>
      <w:r w:rsidR="178224DF">
        <w:t xml:space="preserve">Chief Supply </w:t>
      </w:r>
      <w:r w:rsidR="00E472D6">
        <w:t>Chain</w:t>
      </w:r>
      <w:r w:rsidR="178224DF">
        <w:t xml:space="preserve"> Officer (CSCO) is responsible for overseeing and delivering value throughout the end-to-end supply chain operation of </w:t>
      </w:r>
      <w:r w:rsidR="009E3778">
        <w:t xml:space="preserve">the </w:t>
      </w:r>
      <w:r w:rsidR="6350C451">
        <w:t>organization</w:t>
      </w:r>
      <w:r w:rsidR="178224DF">
        <w:t xml:space="preserve">. </w:t>
      </w:r>
      <w:r w:rsidR="00ED7830">
        <w:t xml:space="preserve">As part of the supply chain operation, </w:t>
      </w:r>
      <w:r w:rsidR="00E472D6">
        <w:t>t</w:t>
      </w:r>
      <w:r w:rsidR="00ED7830">
        <w:t xml:space="preserve">he CSCO </w:t>
      </w:r>
      <w:r w:rsidR="00E472D6">
        <w:t xml:space="preserve">will </w:t>
      </w:r>
      <w:r w:rsidR="007B7300">
        <w:t xml:space="preserve">oversee the </w:t>
      </w:r>
      <w:r w:rsidR="002059B5">
        <w:t>production</w:t>
      </w:r>
      <w:r w:rsidR="007B7300">
        <w:t xml:space="preserve"> manager.</w:t>
      </w:r>
    </w:p>
    <w:p w14:paraId="7886E942" w14:textId="77777777" w:rsidR="00CC088C" w:rsidRDefault="00CC088C" w:rsidP="4C030999"/>
    <w:p w14:paraId="1878F0DE" w14:textId="77777777" w:rsidR="00DE4D7D" w:rsidRDefault="00DE4D7D" w:rsidP="4C030999"/>
    <w:p w14:paraId="687F7A4A" w14:textId="77777777" w:rsidR="00CC088C" w:rsidRDefault="00CC088C" w:rsidP="4C030999"/>
    <w:p w14:paraId="03EA9880" w14:textId="77777777" w:rsidR="00347360" w:rsidRPr="004027B4" w:rsidRDefault="00347360" w:rsidP="005705A9">
      <w:pPr>
        <w:pStyle w:val="Heading2"/>
        <w:numPr>
          <w:ilvl w:val="1"/>
          <w:numId w:val="6"/>
        </w:numPr>
      </w:pPr>
      <w:r w:rsidRPr="004027B4">
        <w:lastRenderedPageBreak/>
        <w:t>Personnel Plan</w:t>
      </w:r>
    </w:p>
    <w:p w14:paraId="343E4A14" w14:textId="12F72DE5" w:rsidR="00582F6D" w:rsidRDefault="00777278" w:rsidP="00D70DB5">
      <w:pPr>
        <w:rPr>
          <w:rFonts w:ascii="Cambria" w:hAnsi="Cambria"/>
          <w:noProof/>
        </w:rPr>
      </w:pPr>
      <w:r>
        <w:rPr>
          <w:rFonts w:ascii="Cambria" w:hAnsi="Cambria"/>
        </w:rPr>
        <w:t xml:space="preserve">Owl’s </w:t>
      </w:r>
      <w:r w:rsidR="009E7ABE">
        <w:rPr>
          <w:rFonts w:ascii="Cambria" w:hAnsi="Cambria"/>
        </w:rPr>
        <w:t xml:space="preserve">employee body consists of 4 </w:t>
      </w:r>
      <w:r w:rsidR="00934754">
        <w:rPr>
          <w:rFonts w:ascii="Cambria" w:hAnsi="Cambria"/>
        </w:rPr>
        <w:t>directors</w:t>
      </w:r>
      <w:r w:rsidR="009E7ABE">
        <w:rPr>
          <w:rFonts w:ascii="Cambria" w:hAnsi="Cambria"/>
        </w:rPr>
        <w:t xml:space="preserve"> and </w:t>
      </w:r>
      <w:r w:rsidR="00AF5A7D">
        <w:rPr>
          <w:rFonts w:ascii="Cambria" w:hAnsi="Cambria"/>
        </w:rPr>
        <w:t>a group of production floor workers</w:t>
      </w:r>
      <w:r w:rsidR="009E7ABE">
        <w:rPr>
          <w:rFonts w:ascii="Cambria" w:hAnsi="Cambria"/>
        </w:rPr>
        <w:t xml:space="preserve">. These 4 </w:t>
      </w:r>
      <w:r w:rsidR="00AB5E11">
        <w:rPr>
          <w:rFonts w:ascii="Cambria" w:hAnsi="Cambria"/>
        </w:rPr>
        <w:t xml:space="preserve">directors </w:t>
      </w:r>
      <w:r w:rsidR="00CA0097">
        <w:rPr>
          <w:rFonts w:ascii="Cambria" w:hAnsi="Cambria"/>
        </w:rPr>
        <w:t>each earn the same amount of money annually with pay increases as the company is projected to gain profit as a result of their efforts.</w:t>
      </w:r>
      <w:r w:rsidR="00AF5A7D">
        <w:rPr>
          <w:rFonts w:ascii="Cambria" w:hAnsi="Cambria"/>
        </w:rPr>
        <w:t xml:space="preserve"> </w:t>
      </w:r>
      <w:r w:rsidR="00EF507C">
        <w:rPr>
          <w:rFonts w:ascii="Cambria" w:hAnsi="Cambria"/>
        </w:rPr>
        <w:t xml:space="preserve">The </w:t>
      </w:r>
      <w:r w:rsidR="003C2D35">
        <w:rPr>
          <w:rFonts w:ascii="Cambria" w:hAnsi="Cambria"/>
        </w:rPr>
        <w:t>CSCO</w:t>
      </w:r>
      <w:r w:rsidR="00EF507C">
        <w:rPr>
          <w:rFonts w:ascii="Cambria" w:hAnsi="Cambria"/>
        </w:rPr>
        <w:t xml:space="preserve"> oversees the </w:t>
      </w:r>
      <w:r w:rsidR="007A2771">
        <w:rPr>
          <w:rFonts w:ascii="Cambria" w:hAnsi="Cambria"/>
        </w:rPr>
        <w:t xml:space="preserve">floor with assistance from the others on the </w:t>
      </w:r>
      <w:r w:rsidR="002A60EA">
        <w:rPr>
          <w:rFonts w:ascii="Cambria" w:hAnsi="Cambria"/>
        </w:rPr>
        <w:t>board of directors as needed.</w:t>
      </w:r>
      <w:r w:rsidR="000C67B1">
        <w:rPr>
          <w:rFonts w:ascii="Cambria" w:hAnsi="Cambria"/>
        </w:rPr>
        <w:t xml:space="preserve"> Profit earned from sales will be invested back into the company as assets to fund further production, innovation, and growth.</w:t>
      </w:r>
      <w:r w:rsidR="005A4908">
        <w:rPr>
          <w:rFonts w:ascii="Cambria" w:hAnsi="Cambria"/>
        </w:rPr>
        <w:t xml:space="preserve"> The </w:t>
      </w:r>
      <w:r w:rsidR="0038762E">
        <w:rPr>
          <w:rFonts w:ascii="Cambria" w:hAnsi="Cambria"/>
        </w:rPr>
        <w:t xml:space="preserve">breakdown of payroll amounts </w:t>
      </w:r>
      <w:r w:rsidR="007C6AB0">
        <w:rPr>
          <w:rFonts w:ascii="Cambria" w:hAnsi="Cambria"/>
        </w:rPr>
        <w:t>is listed in Table 5.1.</w:t>
      </w:r>
    </w:p>
    <w:p w14:paraId="78820BA1" w14:textId="29DF576F" w:rsidR="005A771C" w:rsidRDefault="00B51376" w:rsidP="00B51376">
      <w:pPr>
        <w:jc w:val="center"/>
        <w:rPr>
          <w:rFonts w:ascii="Cambria" w:hAnsi="Cambria"/>
        </w:rPr>
      </w:pPr>
      <w:r>
        <w:rPr>
          <w:rFonts w:ascii="Cambria" w:hAnsi="Cambria"/>
        </w:rPr>
        <w:t xml:space="preserve">Table 5.1 </w:t>
      </w:r>
      <w:r w:rsidR="00210A95">
        <w:rPr>
          <w:rFonts w:ascii="Cambria" w:hAnsi="Cambria"/>
        </w:rPr>
        <w:t>–</w:t>
      </w:r>
      <w:r>
        <w:rPr>
          <w:rFonts w:ascii="Cambria" w:hAnsi="Cambria"/>
        </w:rPr>
        <w:t xml:space="preserve"> </w:t>
      </w:r>
      <w:r w:rsidR="00210A95">
        <w:rPr>
          <w:rFonts w:ascii="Cambria" w:hAnsi="Cambria"/>
        </w:rPr>
        <w:t>Personnel Plan Breakdown</w:t>
      </w:r>
    </w:p>
    <w:tbl>
      <w:tblPr>
        <w:tblStyle w:val="TableGrid"/>
        <w:tblW w:w="0" w:type="auto"/>
        <w:tblLook w:val="04A0" w:firstRow="1" w:lastRow="0" w:firstColumn="1" w:lastColumn="0" w:noHBand="0" w:noVBand="1"/>
      </w:tblPr>
      <w:tblGrid>
        <w:gridCol w:w="990"/>
        <w:gridCol w:w="1219"/>
        <w:gridCol w:w="1219"/>
        <w:gridCol w:w="1420"/>
        <w:gridCol w:w="1680"/>
        <w:gridCol w:w="1330"/>
        <w:gridCol w:w="1330"/>
      </w:tblGrid>
      <w:tr w:rsidR="00024D9F" w:rsidRPr="00024D9F" w14:paraId="189AFD4D" w14:textId="77777777" w:rsidTr="00024D9F">
        <w:trPr>
          <w:trHeight w:val="288"/>
        </w:trPr>
        <w:tc>
          <w:tcPr>
            <w:tcW w:w="960" w:type="dxa"/>
            <w:noWrap/>
            <w:hideMark/>
          </w:tcPr>
          <w:p w14:paraId="3F8CDAFA" w14:textId="77777777" w:rsidR="00024D9F" w:rsidRPr="00024D9F" w:rsidRDefault="00024D9F">
            <w:pPr>
              <w:spacing w:after="0" w:line="240" w:lineRule="auto"/>
            </w:pPr>
          </w:p>
        </w:tc>
        <w:tc>
          <w:tcPr>
            <w:tcW w:w="1160" w:type="dxa"/>
            <w:noWrap/>
            <w:hideMark/>
          </w:tcPr>
          <w:p w14:paraId="19B97480" w14:textId="77777777" w:rsidR="00024D9F" w:rsidRPr="00024D9F" w:rsidRDefault="00024D9F" w:rsidP="00024D9F">
            <w:pPr>
              <w:spacing w:after="0" w:line="240" w:lineRule="auto"/>
              <w:rPr>
                <w:b/>
                <w:bCs/>
              </w:rPr>
            </w:pPr>
            <w:r w:rsidRPr="00024D9F">
              <w:rPr>
                <w:b/>
                <w:bCs/>
              </w:rPr>
              <w:t>Oct</w:t>
            </w:r>
          </w:p>
        </w:tc>
        <w:tc>
          <w:tcPr>
            <w:tcW w:w="1140" w:type="dxa"/>
            <w:noWrap/>
            <w:hideMark/>
          </w:tcPr>
          <w:p w14:paraId="7AB71781" w14:textId="77777777" w:rsidR="00024D9F" w:rsidRPr="00024D9F" w:rsidRDefault="00024D9F" w:rsidP="00024D9F">
            <w:pPr>
              <w:spacing w:after="0" w:line="240" w:lineRule="auto"/>
              <w:rPr>
                <w:b/>
                <w:bCs/>
              </w:rPr>
            </w:pPr>
            <w:r w:rsidRPr="00024D9F">
              <w:rPr>
                <w:b/>
                <w:bCs/>
              </w:rPr>
              <w:t>Nov</w:t>
            </w:r>
          </w:p>
        </w:tc>
        <w:tc>
          <w:tcPr>
            <w:tcW w:w="1420" w:type="dxa"/>
            <w:noWrap/>
            <w:hideMark/>
          </w:tcPr>
          <w:p w14:paraId="5D0DBB3A" w14:textId="77777777" w:rsidR="00024D9F" w:rsidRPr="00024D9F" w:rsidRDefault="00024D9F" w:rsidP="00024D9F">
            <w:pPr>
              <w:spacing w:after="0" w:line="240" w:lineRule="auto"/>
              <w:rPr>
                <w:b/>
                <w:bCs/>
              </w:rPr>
            </w:pPr>
            <w:r w:rsidRPr="00024D9F">
              <w:rPr>
                <w:b/>
                <w:bCs/>
              </w:rPr>
              <w:t>Dec</w:t>
            </w:r>
          </w:p>
        </w:tc>
        <w:tc>
          <w:tcPr>
            <w:tcW w:w="1680" w:type="dxa"/>
            <w:noWrap/>
            <w:hideMark/>
          </w:tcPr>
          <w:p w14:paraId="72D49A93" w14:textId="77777777" w:rsidR="00024D9F" w:rsidRPr="00024D9F" w:rsidRDefault="00024D9F" w:rsidP="00024D9F">
            <w:pPr>
              <w:spacing w:after="0" w:line="240" w:lineRule="auto"/>
              <w:rPr>
                <w:b/>
                <w:bCs/>
              </w:rPr>
            </w:pPr>
            <w:r w:rsidRPr="00024D9F">
              <w:rPr>
                <w:b/>
                <w:bCs/>
              </w:rPr>
              <w:t>2023</w:t>
            </w:r>
          </w:p>
        </w:tc>
        <w:tc>
          <w:tcPr>
            <w:tcW w:w="1240" w:type="dxa"/>
            <w:noWrap/>
            <w:hideMark/>
          </w:tcPr>
          <w:p w14:paraId="613AF8EE" w14:textId="77777777" w:rsidR="00024D9F" w:rsidRPr="00024D9F" w:rsidRDefault="00024D9F" w:rsidP="00024D9F">
            <w:pPr>
              <w:spacing w:after="0" w:line="240" w:lineRule="auto"/>
              <w:rPr>
                <w:b/>
                <w:bCs/>
              </w:rPr>
            </w:pPr>
            <w:r w:rsidRPr="00024D9F">
              <w:rPr>
                <w:b/>
                <w:bCs/>
              </w:rPr>
              <w:t>2024</w:t>
            </w:r>
          </w:p>
        </w:tc>
        <w:tc>
          <w:tcPr>
            <w:tcW w:w="1240" w:type="dxa"/>
            <w:noWrap/>
            <w:hideMark/>
          </w:tcPr>
          <w:p w14:paraId="2E6CA24C" w14:textId="77777777" w:rsidR="00024D9F" w:rsidRPr="00024D9F" w:rsidRDefault="00024D9F" w:rsidP="00024D9F">
            <w:pPr>
              <w:spacing w:after="0" w:line="240" w:lineRule="auto"/>
              <w:rPr>
                <w:b/>
                <w:bCs/>
              </w:rPr>
            </w:pPr>
            <w:r w:rsidRPr="00024D9F">
              <w:rPr>
                <w:b/>
                <w:bCs/>
              </w:rPr>
              <w:t>2025</w:t>
            </w:r>
          </w:p>
        </w:tc>
      </w:tr>
      <w:tr w:rsidR="00024D9F" w:rsidRPr="00024D9F" w14:paraId="20B3444F" w14:textId="77777777" w:rsidTr="00024D9F">
        <w:trPr>
          <w:trHeight w:val="288"/>
        </w:trPr>
        <w:tc>
          <w:tcPr>
            <w:tcW w:w="960" w:type="dxa"/>
            <w:noWrap/>
            <w:hideMark/>
          </w:tcPr>
          <w:p w14:paraId="0CF43596" w14:textId="77777777" w:rsidR="00024D9F" w:rsidRPr="00024D9F" w:rsidRDefault="00024D9F" w:rsidP="00024D9F">
            <w:pPr>
              <w:spacing w:after="0" w:line="240" w:lineRule="auto"/>
            </w:pPr>
            <w:r w:rsidRPr="00024D9F">
              <w:t>CEO</w:t>
            </w:r>
          </w:p>
        </w:tc>
        <w:tc>
          <w:tcPr>
            <w:tcW w:w="1160" w:type="dxa"/>
            <w:noWrap/>
            <w:hideMark/>
          </w:tcPr>
          <w:p w14:paraId="0FB88154" w14:textId="77777777" w:rsidR="00024D9F" w:rsidRPr="00024D9F" w:rsidRDefault="00024D9F" w:rsidP="00024D9F">
            <w:pPr>
              <w:spacing w:after="0" w:line="240" w:lineRule="auto"/>
            </w:pPr>
            <w:r w:rsidRPr="00024D9F">
              <w:t xml:space="preserve">$3,750.00 </w:t>
            </w:r>
          </w:p>
        </w:tc>
        <w:tc>
          <w:tcPr>
            <w:tcW w:w="1140" w:type="dxa"/>
            <w:noWrap/>
            <w:hideMark/>
          </w:tcPr>
          <w:p w14:paraId="34463215" w14:textId="77777777" w:rsidR="00024D9F" w:rsidRPr="00024D9F" w:rsidRDefault="00024D9F" w:rsidP="00024D9F">
            <w:pPr>
              <w:spacing w:after="0" w:line="240" w:lineRule="auto"/>
            </w:pPr>
            <w:r w:rsidRPr="00024D9F">
              <w:t xml:space="preserve">$3,750.00 </w:t>
            </w:r>
          </w:p>
        </w:tc>
        <w:tc>
          <w:tcPr>
            <w:tcW w:w="1420" w:type="dxa"/>
            <w:noWrap/>
            <w:hideMark/>
          </w:tcPr>
          <w:p w14:paraId="03FC1CCF" w14:textId="77777777" w:rsidR="00024D9F" w:rsidRPr="00024D9F" w:rsidRDefault="00024D9F" w:rsidP="00024D9F">
            <w:pPr>
              <w:spacing w:after="0" w:line="240" w:lineRule="auto"/>
            </w:pPr>
            <w:r w:rsidRPr="00024D9F">
              <w:t xml:space="preserve">$3,750.00 </w:t>
            </w:r>
          </w:p>
        </w:tc>
        <w:tc>
          <w:tcPr>
            <w:tcW w:w="1680" w:type="dxa"/>
            <w:noWrap/>
            <w:hideMark/>
          </w:tcPr>
          <w:p w14:paraId="79E9E81E" w14:textId="77777777" w:rsidR="00024D9F" w:rsidRPr="00024D9F" w:rsidRDefault="00024D9F" w:rsidP="00024D9F">
            <w:pPr>
              <w:spacing w:after="0" w:line="240" w:lineRule="auto"/>
            </w:pPr>
            <w:r w:rsidRPr="00024D9F">
              <w:t xml:space="preserve">$11,250.00 </w:t>
            </w:r>
          </w:p>
        </w:tc>
        <w:tc>
          <w:tcPr>
            <w:tcW w:w="1240" w:type="dxa"/>
            <w:noWrap/>
            <w:hideMark/>
          </w:tcPr>
          <w:p w14:paraId="1D7ACC93" w14:textId="77777777" w:rsidR="00024D9F" w:rsidRPr="00024D9F" w:rsidRDefault="00024D9F" w:rsidP="00024D9F">
            <w:pPr>
              <w:spacing w:after="0" w:line="240" w:lineRule="auto"/>
            </w:pPr>
            <w:r w:rsidRPr="00024D9F">
              <w:t xml:space="preserve">$96,000.00 </w:t>
            </w:r>
          </w:p>
        </w:tc>
        <w:tc>
          <w:tcPr>
            <w:tcW w:w="1240" w:type="dxa"/>
            <w:noWrap/>
            <w:hideMark/>
          </w:tcPr>
          <w:p w14:paraId="0B06D8AE" w14:textId="77777777" w:rsidR="00024D9F" w:rsidRPr="00024D9F" w:rsidRDefault="00024D9F" w:rsidP="00024D9F">
            <w:pPr>
              <w:spacing w:after="0" w:line="240" w:lineRule="auto"/>
            </w:pPr>
            <w:r w:rsidRPr="00024D9F">
              <w:t xml:space="preserve">$98,880.00 </w:t>
            </w:r>
          </w:p>
        </w:tc>
      </w:tr>
      <w:tr w:rsidR="00024D9F" w:rsidRPr="00024D9F" w14:paraId="7A1103F2" w14:textId="77777777" w:rsidTr="00024D9F">
        <w:trPr>
          <w:trHeight w:val="288"/>
        </w:trPr>
        <w:tc>
          <w:tcPr>
            <w:tcW w:w="960" w:type="dxa"/>
            <w:noWrap/>
            <w:hideMark/>
          </w:tcPr>
          <w:p w14:paraId="18504DEA" w14:textId="77777777" w:rsidR="00024D9F" w:rsidRPr="00024D9F" w:rsidRDefault="00024D9F" w:rsidP="00024D9F">
            <w:pPr>
              <w:spacing w:after="0" w:line="240" w:lineRule="auto"/>
            </w:pPr>
            <w:r w:rsidRPr="00024D9F">
              <w:t>CFO</w:t>
            </w:r>
          </w:p>
        </w:tc>
        <w:tc>
          <w:tcPr>
            <w:tcW w:w="1160" w:type="dxa"/>
            <w:noWrap/>
            <w:hideMark/>
          </w:tcPr>
          <w:p w14:paraId="5BC9BADC" w14:textId="77777777" w:rsidR="00024D9F" w:rsidRPr="00024D9F" w:rsidRDefault="00024D9F" w:rsidP="00024D9F">
            <w:pPr>
              <w:spacing w:after="0" w:line="240" w:lineRule="auto"/>
            </w:pPr>
            <w:r w:rsidRPr="00024D9F">
              <w:t xml:space="preserve">$3,750.00 </w:t>
            </w:r>
          </w:p>
        </w:tc>
        <w:tc>
          <w:tcPr>
            <w:tcW w:w="1140" w:type="dxa"/>
            <w:noWrap/>
            <w:hideMark/>
          </w:tcPr>
          <w:p w14:paraId="6512743E" w14:textId="77777777" w:rsidR="00024D9F" w:rsidRPr="00024D9F" w:rsidRDefault="00024D9F" w:rsidP="00024D9F">
            <w:pPr>
              <w:spacing w:after="0" w:line="240" w:lineRule="auto"/>
            </w:pPr>
            <w:r w:rsidRPr="00024D9F">
              <w:t xml:space="preserve">$3,750.00 </w:t>
            </w:r>
          </w:p>
        </w:tc>
        <w:tc>
          <w:tcPr>
            <w:tcW w:w="1420" w:type="dxa"/>
            <w:noWrap/>
            <w:hideMark/>
          </w:tcPr>
          <w:p w14:paraId="10026510" w14:textId="77777777" w:rsidR="00024D9F" w:rsidRPr="00024D9F" w:rsidRDefault="00024D9F" w:rsidP="00024D9F">
            <w:pPr>
              <w:spacing w:after="0" w:line="240" w:lineRule="auto"/>
            </w:pPr>
            <w:r w:rsidRPr="00024D9F">
              <w:t xml:space="preserve">$3,750.00 </w:t>
            </w:r>
          </w:p>
        </w:tc>
        <w:tc>
          <w:tcPr>
            <w:tcW w:w="1680" w:type="dxa"/>
            <w:noWrap/>
            <w:hideMark/>
          </w:tcPr>
          <w:p w14:paraId="46EBD7ED" w14:textId="77777777" w:rsidR="00024D9F" w:rsidRPr="00024D9F" w:rsidRDefault="00024D9F" w:rsidP="00024D9F">
            <w:pPr>
              <w:spacing w:after="0" w:line="240" w:lineRule="auto"/>
            </w:pPr>
            <w:r w:rsidRPr="00024D9F">
              <w:t xml:space="preserve">$11,250.00 </w:t>
            </w:r>
          </w:p>
        </w:tc>
        <w:tc>
          <w:tcPr>
            <w:tcW w:w="1240" w:type="dxa"/>
            <w:noWrap/>
            <w:hideMark/>
          </w:tcPr>
          <w:p w14:paraId="60C77304" w14:textId="77777777" w:rsidR="00024D9F" w:rsidRPr="00024D9F" w:rsidRDefault="00024D9F" w:rsidP="00024D9F">
            <w:pPr>
              <w:spacing w:after="0" w:line="240" w:lineRule="auto"/>
            </w:pPr>
            <w:r w:rsidRPr="00024D9F">
              <w:t xml:space="preserve">$96,000.00 </w:t>
            </w:r>
          </w:p>
        </w:tc>
        <w:tc>
          <w:tcPr>
            <w:tcW w:w="1240" w:type="dxa"/>
            <w:noWrap/>
            <w:hideMark/>
          </w:tcPr>
          <w:p w14:paraId="5E944B13" w14:textId="77777777" w:rsidR="00024D9F" w:rsidRPr="00024D9F" w:rsidRDefault="00024D9F" w:rsidP="00024D9F">
            <w:pPr>
              <w:spacing w:after="0" w:line="240" w:lineRule="auto"/>
            </w:pPr>
            <w:r w:rsidRPr="00024D9F">
              <w:t xml:space="preserve">$98,880.00 </w:t>
            </w:r>
          </w:p>
        </w:tc>
      </w:tr>
      <w:tr w:rsidR="00024D9F" w:rsidRPr="00024D9F" w14:paraId="76031837" w14:textId="77777777" w:rsidTr="00024D9F">
        <w:trPr>
          <w:trHeight w:val="288"/>
        </w:trPr>
        <w:tc>
          <w:tcPr>
            <w:tcW w:w="960" w:type="dxa"/>
            <w:noWrap/>
            <w:hideMark/>
          </w:tcPr>
          <w:p w14:paraId="79D15844" w14:textId="77777777" w:rsidR="00024D9F" w:rsidRPr="00024D9F" w:rsidRDefault="00024D9F" w:rsidP="00024D9F">
            <w:pPr>
              <w:spacing w:after="0" w:line="240" w:lineRule="auto"/>
            </w:pPr>
            <w:r w:rsidRPr="00024D9F">
              <w:t>COO</w:t>
            </w:r>
          </w:p>
        </w:tc>
        <w:tc>
          <w:tcPr>
            <w:tcW w:w="1160" w:type="dxa"/>
            <w:noWrap/>
            <w:hideMark/>
          </w:tcPr>
          <w:p w14:paraId="6F34248F" w14:textId="77777777" w:rsidR="00024D9F" w:rsidRPr="00024D9F" w:rsidRDefault="00024D9F" w:rsidP="00024D9F">
            <w:pPr>
              <w:spacing w:after="0" w:line="240" w:lineRule="auto"/>
            </w:pPr>
            <w:r w:rsidRPr="00024D9F">
              <w:t xml:space="preserve">$3,750.00 </w:t>
            </w:r>
          </w:p>
        </w:tc>
        <w:tc>
          <w:tcPr>
            <w:tcW w:w="1140" w:type="dxa"/>
            <w:noWrap/>
            <w:hideMark/>
          </w:tcPr>
          <w:p w14:paraId="3E6B6588" w14:textId="77777777" w:rsidR="00024D9F" w:rsidRPr="00024D9F" w:rsidRDefault="00024D9F" w:rsidP="00024D9F">
            <w:pPr>
              <w:spacing w:after="0" w:line="240" w:lineRule="auto"/>
            </w:pPr>
            <w:r w:rsidRPr="00024D9F">
              <w:t xml:space="preserve">$3,750.00 </w:t>
            </w:r>
          </w:p>
        </w:tc>
        <w:tc>
          <w:tcPr>
            <w:tcW w:w="1420" w:type="dxa"/>
            <w:noWrap/>
            <w:hideMark/>
          </w:tcPr>
          <w:p w14:paraId="3922D551" w14:textId="77777777" w:rsidR="00024D9F" w:rsidRPr="00024D9F" w:rsidRDefault="00024D9F" w:rsidP="00024D9F">
            <w:pPr>
              <w:spacing w:after="0" w:line="240" w:lineRule="auto"/>
            </w:pPr>
            <w:r w:rsidRPr="00024D9F">
              <w:t xml:space="preserve">$3,750.00 </w:t>
            </w:r>
          </w:p>
        </w:tc>
        <w:tc>
          <w:tcPr>
            <w:tcW w:w="1680" w:type="dxa"/>
            <w:noWrap/>
            <w:hideMark/>
          </w:tcPr>
          <w:p w14:paraId="085E6623" w14:textId="77777777" w:rsidR="00024D9F" w:rsidRPr="00024D9F" w:rsidRDefault="00024D9F" w:rsidP="00024D9F">
            <w:pPr>
              <w:spacing w:after="0" w:line="240" w:lineRule="auto"/>
            </w:pPr>
            <w:r w:rsidRPr="00024D9F">
              <w:t xml:space="preserve">$11,250.00 </w:t>
            </w:r>
          </w:p>
        </w:tc>
        <w:tc>
          <w:tcPr>
            <w:tcW w:w="1240" w:type="dxa"/>
            <w:noWrap/>
            <w:hideMark/>
          </w:tcPr>
          <w:p w14:paraId="2880FACC" w14:textId="77777777" w:rsidR="00024D9F" w:rsidRPr="00024D9F" w:rsidRDefault="00024D9F" w:rsidP="00024D9F">
            <w:pPr>
              <w:spacing w:after="0" w:line="240" w:lineRule="auto"/>
            </w:pPr>
            <w:r w:rsidRPr="00024D9F">
              <w:t xml:space="preserve">$96,000.00 </w:t>
            </w:r>
          </w:p>
        </w:tc>
        <w:tc>
          <w:tcPr>
            <w:tcW w:w="1240" w:type="dxa"/>
            <w:noWrap/>
            <w:hideMark/>
          </w:tcPr>
          <w:p w14:paraId="772232C8" w14:textId="77777777" w:rsidR="00024D9F" w:rsidRPr="00024D9F" w:rsidRDefault="00024D9F" w:rsidP="00024D9F">
            <w:pPr>
              <w:spacing w:after="0" w:line="240" w:lineRule="auto"/>
            </w:pPr>
            <w:r w:rsidRPr="00024D9F">
              <w:t xml:space="preserve">$98,880.00 </w:t>
            </w:r>
          </w:p>
        </w:tc>
      </w:tr>
      <w:tr w:rsidR="00024D9F" w:rsidRPr="00024D9F" w14:paraId="1F8D60D9" w14:textId="77777777" w:rsidTr="00024D9F">
        <w:trPr>
          <w:trHeight w:val="288"/>
        </w:trPr>
        <w:tc>
          <w:tcPr>
            <w:tcW w:w="960" w:type="dxa"/>
            <w:noWrap/>
            <w:hideMark/>
          </w:tcPr>
          <w:p w14:paraId="6FC4F608" w14:textId="77777777" w:rsidR="00024D9F" w:rsidRPr="00024D9F" w:rsidRDefault="00024D9F" w:rsidP="00024D9F">
            <w:pPr>
              <w:spacing w:after="0" w:line="240" w:lineRule="auto"/>
            </w:pPr>
            <w:r w:rsidRPr="00024D9F">
              <w:t>CSCO</w:t>
            </w:r>
          </w:p>
        </w:tc>
        <w:tc>
          <w:tcPr>
            <w:tcW w:w="1160" w:type="dxa"/>
            <w:noWrap/>
            <w:hideMark/>
          </w:tcPr>
          <w:p w14:paraId="721F7B14" w14:textId="77777777" w:rsidR="00024D9F" w:rsidRPr="00024D9F" w:rsidRDefault="00024D9F" w:rsidP="00024D9F">
            <w:pPr>
              <w:spacing w:after="0" w:line="240" w:lineRule="auto"/>
            </w:pPr>
            <w:r w:rsidRPr="00024D9F">
              <w:t xml:space="preserve">$3,750.00 </w:t>
            </w:r>
          </w:p>
        </w:tc>
        <w:tc>
          <w:tcPr>
            <w:tcW w:w="1140" w:type="dxa"/>
            <w:noWrap/>
            <w:hideMark/>
          </w:tcPr>
          <w:p w14:paraId="3CC196F1" w14:textId="77777777" w:rsidR="00024D9F" w:rsidRPr="00024D9F" w:rsidRDefault="00024D9F" w:rsidP="00024D9F">
            <w:pPr>
              <w:spacing w:after="0" w:line="240" w:lineRule="auto"/>
            </w:pPr>
            <w:r w:rsidRPr="00024D9F">
              <w:t xml:space="preserve">$3,750.00 </w:t>
            </w:r>
          </w:p>
        </w:tc>
        <w:tc>
          <w:tcPr>
            <w:tcW w:w="1420" w:type="dxa"/>
            <w:noWrap/>
            <w:hideMark/>
          </w:tcPr>
          <w:p w14:paraId="69C86BF2" w14:textId="77777777" w:rsidR="00024D9F" w:rsidRPr="00024D9F" w:rsidRDefault="00024D9F" w:rsidP="00024D9F">
            <w:pPr>
              <w:spacing w:after="0" w:line="240" w:lineRule="auto"/>
            </w:pPr>
            <w:r w:rsidRPr="00024D9F">
              <w:t xml:space="preserve">$3,750.00 </w:t>
            </w:r>
          </w:p>
        </w:tc>
        <w:tc>
          <w:tcPr>
            <w:tcW w:w="1680" w:type="dxa"/>
            <w:noWrap/>
            <w:hideMark/>
          </w:tcPr>
          <w:p w14:paraId="48E21F4B" w14:textId="77777777" w:rsidR="00024D9F" w:rsidRPr="00024D9F" w:rsidRDefault="00024D9F" w:rsidP="00024D9F">
            <w:pPr>
              <w:spacing w:after="0" w:line="240" w:lineRule="auto"/>
            </w:pPr>
            <w:r w:rsidRPr="00024D9F">
              <w:t xml:space="preserve">$11,250.00 </w:t>
            </w:r>
          </w:p>
        </w:tc>
        <w:tc>
          <w:tcPr>
            <w:tcW w:w="1240" w:type="dxa"/>
            <w:noWrap/>
            <w:hideMark/>
          </w:tcPr>
          <w:p w14:paraId="25D76E2B" w14:textId="77777777" w:rsidR="00024D9F" w:rsidRPr="00024D9F" w:rsidRDefault="00024D9F" w:rsidP="00024D9F">
            <w:pPr>
              <w:spacing w:after="0" w:line="240" w:lineRule="auto"/>
            </w:pPr>
            <w:r w:rsidRPr="00024D9F">
              <w:t xml:space="preserve">$96,000.00 </w:t>
            </w:r>
          </w:p>
        </w:tc>
        <w:tc>
          <w:tcPr>
            <w:tcW w:w="1240" w:type="dxa"/>
            <w:noWrap/>
            <w:hideMark/>
          </w:tcPr>
          <w:p w14:paraId="54AA2D01" w14:textId="77777777" w:rsidR="00024D9F" w:rsidRPr="00024D9F" w:rsidRDefault="00024D9F" w:rsidP="00024D9F">
            <w:pPr>
              <w:spacing w:after="0" w:line="240" w:lineRule="auto"/>
            </w:pPr>
            <w:r w:rsidRPr="00024D9F">
              <w:t xml:space="preserve">$98,880.00 </w:t>
            </w:r>
          </w:p>
        </w:tc>
      </w:tr>
      <w:tr w:rsidR="00024D9F" w:rsidRPr="00024D9F" w14:paraId="1A8CFC3F" w14:textId="77777777" w:rsidTr="00024D9F">
        <w:trPr>
          <w:trHeight w:val="288"/>
        </w:trPr>
        <w:tc>
          <w:tcPr>
            <w:tcW w:w="960" w:type="dxa"/>
            <w:noWrap/>
            <w:hideMark/>
          </w:tcPr>
          <w:p w14:paraId="0DC92460" w14:textId="77777777" w:rsidR="00024D9F" w:rsidRPr="00024D9F" w:rsidRDefault="00024D9F" w:rsidP="00024D9F">
            <w:pPr>
              <w:spacing w:after="0" w:line="240" w:lineRule="auto"/>
            </w:pPr>
            <w:r w:rsidRPr="00024D9F">
              <w:t>Floor</w:t>
            </w:r>
          </w:p>
        </w:tc>
        <w:tc>
          <w:tcPr>
            <w:tcW w:w="1160" w:type="dxa"/>
            <w:noWrap/>
            <w:hideMark/>
          </w:tcPr>
          <w:p w14:paraId="78852B8C" w14:textId="77777777" w:rsidR="00024D9F" w:rsidRPr="00024D9F" w:rsidRDefault="00024D9F" w:rsidP="00024D9F">
            <w:pPr>
              <w:spacing w:after="0" w:line="240" w:lineRule="auto"/>
            </w:pPr>
            <w:r w:rsidRPr="00024D9F">
              <w:t xml:space="preserve">$1,733.33 </w:t>
            </w:r>
          </w:p>
        </w:tc>
        <w:tc>
          <w:tcPr>
            <w:tcW w:w="1140" w:type="dxa"/>
            <w:noWrap/>
            <w:hideMark/>
          </w:tcPr>
          <w:p w14:paraId="27E48E4D" w14:textId="77777777" w:rsidR="00024D9F" w:rsidRPr="00024D9F" w:rsidRDefault="00024D9F" w:rsidP="00024D9F">
            <w:pPr>
              <w:spacing w:after="0" w:line="240" w:lineRule="auto"/>
            </w:pPr>
            <w:r w:rsidRPr="00024D9F">
              <w:t xml:space="preserve">$1,733.33 </w:t>
            </w:r>
          </w:p>
        </w:tc>
        <w:tc>
          <w:tcPr>
            <w:tcW w:w="1420" w:type="dxa"/>
            <w:noWrap/>
            <w:hideMark/>
          </w:tcPr>
          <w:p w14:paraId="0633DDF1" w14:textId="77777777" w:rsidR="00024D9F" w:rsidRPr="00024D9F" w:rsidRDefault="00024D9F" w:rsidP="00024D9F">
            <w:pPr>
              <w:spacing w:after="0" w:line="240" w:lineRule="auto"/>
            </w:pPr>
            <w:r w:rsidRPr="00024D9F">
              <w:t xml:space="preserve">$1,733.33 </w:t>
            </w:r>
          </w:p>
        </w:tc>
        <w:tc>
          <w:tcPr>
            <w:tcW w:w="1680" w:type="dxa"/>
            <w:noWrap/>
            <w:hideMark/>
          </w:tcPr>
          <w:p w14:paraId="0ED62259" w14:textId="77777777" w:rsidR="00024D9F" w:rsidRPr="00024D9F" w:rsidRDefault="00024D9F" w:rsidP="00024D9F">
            <w:pPr>
              <w:spacing w:after="0" w:line="240" w:lineRule="auto"/>
            </w:pPr>
            <w:r w:rsidRPr="00024D9F">
              <w:t xml:space="preserve">$5,200.00 </w:t>
            </w:r>
          </w:p>
        </w:tc>
        <w:tc>
          <w:tcPr>
            <w:tcW w:w="1240" w:type="dxa"/>
            <w:noWrap/>
            <w:hideMark/>
          </w:tcPr>
          <w:p w14:paraId="47F061DC" w14:textId="77777777" w:rsidR="00024D9F" w:rsidRPr="00024D9F" w:rsidRDefault="00024D9F" w:rsidP="00024D9F">
            <w:pPr>
              <w:spacing w:after="0" w:line="240" w:lineRule="auto"/>
            </w:pPr>
            <w:r w:rsidRPr="00024D9F">
              <w:t xml:space="preserve">$349,440.00 </w:t>
            </w:r>
          </w:p>
        </w:tc>
        <w:tc>
          <w:tcPr>
            <w:tcW w:w="1240" w:type="dxa"/>
            <w:noWrap/>
            <w:hideMark/>
          </w:tcPr>
          <w:p w14:paraId="6BE7113B" w14:textId="77777777" w:rsidR="00024D9F" w:rsidRPr="00024D9F" w:rsidRDefault="00024D9F" w:rsidP="00024D9F">
            <w:pPr>
              <w:spacing w:after="0" w:line="240" w:lineRule="auto"/>
            </w:pPr>
            <w:r w:rsidRPr="00024D9F">
              <w:t xml:space="preserve">$436,000.00 </w:t>
            </w:r>
          </w:p>
        </w:tc>
      </w:tr>
      <w:tr w:rsidR="00024D9F" w:rsidRPr="00024D9F" w14:paraId="18BA5A81" w14:textId="77777777" w:rsidTr="00024D9F">
        <w:trPr>
          <w:trHeight w:val="288"/>
        </w:trPr>
        <w:tc>
          <w:tcPr>
            <w:tcW w:w="960" w:type="dxa"/>
            <w:noWrap/>
            <w:hideMark/>
          </w:tcPr>
          <w:p w14:paraId="2DB5C173" w14:textId="77777777" w:rsidR="00024D9F" w:rsidRPr="00024D9F" w:rsidRDefault="00024D9F" w:rsidP="00024D9F">
            <w:pPr>
              <w:spacing w:after="0" w:line="240" w:lineRule="auto"/>
              <w:rPr>
                <w:b/>
                <w:bCs/>
              </w:rPr>
            </w:pPr>
            <w:r w:rsidRPr="00024D9F">
              <w:rPr>
                <w:b/>
                <w:bCs/>
              </w:rPr>
              <w:t>Subtotal</w:t>
            </w:r>
          </w:p>
        </w:tc>
        <w:tc>
          <w:tcPr>
            <w:tcW w:w="1160" w:type="dxa"/>
            <w:noWrap/>
            <w:hideMark/>
          </w:tcPr>
          <w:p w14:paraId="30CB13F9" w14:textId="77777777" w:rsidR="00024D9F" w:rsidRPr="00024D9F" w:rsidRDefault="00024D9F" w:rsidP="00024D9F">
            <w:pPr>
              <w:spacing w:after="0" w:line="240" w:lineRule="auto"/>
            </w:pPr>
            <w:r w:rsidRPr="00024D9F">
              <w:t xml:space="preserve">$16,733.33 </w:t>
            </w:r>
          </w:p>
        </w:tc>
        <w:tc>
          <w:tcPr>
            <w:tcW w:w="1140" w:type="dxa"/>
            <w:noWrap/>
            <w:hideMark/>
          </w:tcPr>
          <w:p w14:paraId="79C9FDF6" w14:textId="77777777" w:rsidR="00024D9F" w:rsidRPr="00024D9F" w:rsidRDefault="00024D9F" w:rsidP="00024D9F">
            <w:pPr>
              <w:spacing w:after="0" w:line="240" w:lineRule="auto"/>
            </w:pPr>
            <w:r w:rsidRPr="00024D9F">
              <w:t xml:space="preserve">$16,733.33 </w:t>
            </w:r>
          </w:p>
        </w:tc>
        <w:tc>
          <w:tcPr>
            <w:tcW w:w="1420" w:type="dxa"/>
            <w:noWrap/>
            <w:hideMark/>
          </w:tcPr>
          <w:p w14:paraId="5520C3A5" w14:textId="77777777" w:rsidR="00024D9F" w:rsidRPr="00024D9F" w:rsidRDefault="00024D9F" w:rsidP="00024D9F">
            <w:pPr>
              <w:spacing w:after="0" w:line="240" w:lineRule="auto"/>
            </w:pPr>
            <w:r w:rsidRPr="00024D9F">
              <w:t xml:space="preserve">$16,733.33 </w:t>
            </w:r>
          </w:p>
        </w:tc>
        <w:tc>
          <w:tcPr>
            <w:tcW w:w="1680" w:type="dxa"/>
            <w:noWrap/>
            <w:hideMark/>
          </w:tcPr>
          <w:p w14:paraId="64FE85C1" w14:textId="77777777" w:rsidR="00024D9F" w:rsidRPr="00024D9F" w:rsidRDefault="00024D9F" w:rsidP="00024D9F">
            <w:pPr>
              <w:spacing w:after="0" w:line="240" w:lineRule="auto"/>
            </w:pPr>
            <w:r w:rsidRPr="00024D9F">
              <w:t xml:space="preserve">$50,200.00 </w:t>
            </w:r>
          </w:p>
        </w:tc>
        <w:tc>
          <w:tcPr>
            <w:tcW w:w="1240" w:type="dxa"/>
            <w:noWrap/>
            <w:hideMark/>
          </w:tcPr>
          <w:p w14:paraId="135E1DC6" w14:textId="77777777" w:rsidR="00024D9F" w:rsidRPr="00024D9F" w:rsidRDefault="00024D9F" w:rsidP="00024D9F">
            <w:pPr>
              <w:spacing w:after="0" w:line="240" w:lineRule="auto"/>
            </w:pPr>
            <w:r w:rsidRPr="00024D9F">
              <w:t xml:space="preserve">$733,440.00 </w:t>
            </w:r>
          </w:p>
        </w:tc>
        <w:tc>
          <w:tcPr>
            <w:tcW w:w="1240" w:type="dxa"/>
            <w:noWrap/>
            <w:hideMark/>
          </w:tcPr>
          <w:p w14:paraId="1CA8F48C" w14:textId="77777777" w:rsidR="00024D9F" w:rsidRPr="00024D9F" w:rsidRDefault="00024D9F" w:rsidP="00024D9F">
            <w:pPr>
              <w:spacing w:after="0" w:line="240" w:lineRule="auto"/>
            </w:pPr>
            <w:r w:rsidRPr="00024D9F">
              <w:t xml:space="preserve">$831,520.00 </w:t>
            </w:r>
          </w:p>
        </w:tc>
      </w:tr>
    </w:tbl>
    <w:p w14:paraId="62971572" w14:textId="77777777" w:rsidR="00F836FD" w:rsidRPr="003C2D35" w:rsidRDefault="00F836FD">
      <w:pPr>
        <w:spacing w:after="0" w:line="240" w:lineRule="auto"/>
      </w:pPr>
      <w:r>
        <w:br w:type="page"/>
      </w:r>
    </w:p>
    <w:p w14:paraId="60F4C0D1" w14:textId="491C6D3A" w:rsidR="00F836FD" w:rsidRDefault="00F836FD" w:rsidP="00F836FD">
      <w:pPr>
        <w:pStyle w:val="Heading2"/>
        <w:numPr>
          <w:ilvl w:val="0"/>
          <w:numId w:val="6"/>
        </w:numPr>
      </w:pPr>
      <w:r>
        <w:lastRenderedPageBreak/>
        <w:t>References</w:t>
      </w:r>
    </w:p>
    <w:p w14:paraId="24C61E1B" w14:textId="6E927ADA" w:rsidR="00582F6D" w:rsidRPr="00F836FD" w:rsidRDefault="00F836FD" w:rsidP="00D70DB5">
      <w:r>
        <w:t xml:space="preserve">[1] </w:t>
      </w:r>
      <w:r w:rsidR="00F41088" w:rsidRPr="00F41088">
        <w:t>“National Household Travel survey,” National Household Travel Survey, https://nhts.ornl.gov/ (accessed Oct. 10, 2023).</w:t>
      </w:r>
    </w:p>
    <w:sectPr w:rsidR="00582F6D" w:rsidRPr="00F836FD" w:rsidSect="002409E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FB409" w14:textId="77777777" w:rsidR="00497C55" w:rsidRDefault="00497C55" w:rsidP="00D70DB5">
      <w:pPr>
        <w:spacing w:after="0" w:line="240" w:lineRule="auto"/>
      </w:pPr>
      <w:r>
        <w:separator/>
      </w:r>
    </w:p>
  </w:endnote>
  <w:endnote w:type="continuationSeparator" w:id="0">
    <w:p w14:paraId="0E76B010" w14:textId="77777777" w:rsidR="00497C55" w:rsidRDefault="00497C55" w:rsidP="00D70DB5">
      <w:pPr>
        <w:spacing w:after="0" w:line="240" w:lineRule="auto"/>
      </w:pPr>
      <w:r>
        <w:continuationSeparator/>
      </w:r>
    </w:p>
  </w:endnote>
  <w:endnote w:type="continuationNotice" w:id="1">
    <w:p w14:paraId="7AFF4FCE" w14:textId="77777777" w:rsidR="00497C55" w:rsidRDefault="00497C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E8904" w14:textId="77777777" w:rsidR="00D70DB5" w:rsidRDefault="00D70DB5" w:rsidP="00931988">
    <w:pPr>
      <w:pStyle w:val="Footer"/>
      <w:jc w:val="center"/>
    </w:pPr>
    <w:r>
      <w:fldChar w:fldCharType="begin"/>
    </w:r>
    <w:r>
      <w:instrText xml:space="preserve"> PAGE   \* MERGEFORMAT </w:instrText>
    </w:r>
    <w:r>
      <w:fldChar w:fldCharType="separate"/>
    </w:r>
    <w:r w:rsidR="00986207">
      <w:rPr>
        <w:noProof/>
      </w:rPr>
      <w:t>1</w:t>
    </w:r>
    <w:r>
      <w:fldChar w:fldCharType="end"/>
    </w:r>
  </w:p>
  <w:p w14:paraId="745B3A16" w14:textId="67058E2B" w:rsidR="00931988" w:rsidRDefault="00931988" w:rsidP="009319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3FDF4" w14:textId="77777777" w:rsidR="00497C55" w:rsidRDefault="00497C55" w:rsidP="00D70DB5">
      <w:pPr>
        <w:spacing w:after="0" w:line="240" w:lineRule="auto"/>
      </w:pPr>
      <w:r>
        <w:separator/>
      </w:r>
    </w:p>
  </w:footnote>
  <w:footnote w:type="continuationSeparator" w:id="0">
    <w:p w14:paraId="20103CB6" w14:textId="77777777" w:rsidR="00497C55" w:rsidRDefault="00497C55" w:rsidP="00D70DB5">
      <w:pPr>
        <w:spacing w:after="0" w:line="240" w:lineRule="auto"/>
      </w:pPr>
      <w:r>
        <w:continuationSeparator/>
      </w:r>
    </w:p>
  </w:footnote>
  <w:footnote w:type="continuationNotice" w:id="1">
    <w:p w14:paraId="59C8EEEB" w14:textId="77777777" w:rsidR="00497C55" w:rsidRDefault="00497C5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32E04" w14:textId="709C0ED9" w:rsidR="00D70DB5" w:rsidRPr="004027B4" w:rsidRDefault="00931988">
    <w:pPr>
      <w:pStyle w:val="Header"/>
      <w:rPr>
        <w:rFonts w:ascii="Cambria" w:hAnsi="Cambria"/>
      </w:rPr>
    </w:pPr>
    <w:r w:rsidRPr="004027B4">
      <w:rPr>
        <w:rFonts w:ascii="Cambria" w:hAnsi="Cambria"/>
      </w:rPr>
      <w:t>Senior Design II – T</w:t>
    </w:r>
    <w:r w:rsidR="004D204B" w:rsidRPr="004027B4">
      <w:rPr>
        <w:rFonts w:ascii="Cambria" w:hAnsi="Cambria"/>
      </w:rPr>
      <w:t>rain and Go</w:t>
    </w:r>
    <w:r w:rsidRPr="004027B4">
      <w:rPr>
        <w:rFonts w:ascii="Cambria" w:hAnsi="Cambria"/>
      </w:rPr>
      <w:tab/>
    </w:r>
    <w:r w:rsidRPr="004027B4">
      <w:rPr>
        <w:rFonts w:ascii="Cambria" w:hAnsi="Cambria"/>
      </w:rPr>
      <w:tab/>
    </w:r>
    <w:r w:rsidR="004D204B" w:rsidRPr="004027B4">
      <w:rPr>
        <w:rFonts w:ascii="Cambria" w:hAnsi="Cambria"/>
      </w:rPr>
      <w:t>October 11, 2023</w:t>
    </w:r>
    <w:r w:rsidR="00D70DB5" w:rsidRPr="004027B4">
      <w:rPr>
        <w:rFonts w:ascii="Cambria" w:hAnsi="Cambri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73F1"/>
    <w:multiLevelType w:val="multilevel"/>
    <w:tmpl w:val="EB56FB16"/>
    <w:lvl w:ilvl="0">
      <w:start w:val="2"/>
      <w:numFmt w:val="decimal"/>
      <w:lvlText w:val="%1."/>
      <w:lvlJc w:val="left"/>
      <w:pPr>
        <w:ind w:left="450" w:hanging="360"/>
      </w:pPr>
      <w:rPr>
        <w:rFonts w:hint="default"/>
      </w:rPr>
    </w:lvl>
    <w:lvl w:ilvl="1">
      <w:start w:val="1"/>
      <w:numFmt w:val="decimal"/>
      <w:lvlText w:val="%1.%2"/>
      <w:lvlJc w:val="left"/>
      <w:pPr>
        <w:ind w:left="882" w:hanging="792"/>
      </w:pPr>
      <w:rPr>
        <w:rFonts w:hint="default"/>
      </w:rPr>
    </w:lvl>
    <w:lvl w:ilvl="2">
      <w:start w:val="1"/>
      <w:numFmt w:val="decimal"/>
      <w:lvlText w:val="%1.%2.%3"/>
      <w:lvlJc w:val="left"/>
      <w:pPr>
        <w:ind w:left="1314" w:hanging="1224"/>
      </w:pPr>
      <w:rPr>
        <w:rFonts w:hint="default"/>
      </w:rPr>
    </w:lvl>
    <w:lvl w:ilvl="3">
      <w:start w:val="1"/>
      <w:numFmt w:val="decimal"/>
      <w:lvlText w:val="%1.%2.%3.%4."/>
      <w:lvlJc w:val="left"/>
      <w:pPr>
        <w:ind w:left="1818" w:hanging="648"/>
      </w:pPr>
      <w:rPr>
        <w:rFonts w:hint="default"/>
      </w:rPr>
    </w:lvl>
    <w:lvl w:ilvl="4">
      <w:start w:val="1"/>
      <w:numFmt w:val="decimal"/>
      <w:lvlText w:val="%1.%2.%3.%4.%5."/>
      <w:lvlJc w:val="left"/>
      <w:pPr>
        <w:ind w:left="2322" w:hanging="792"/>
      </w:pPr>
      <w:rPr>
        <w:rFonts w:hint="default"/>
      </w:rPr>
    </w:lvl>
    <w:lvl w:ilvl="5">
      <w:start w:val="1"/>
      <w:numFmt w:val="decimal"/>
      <w:lvlText w:val="%1.%2.%3.%4.%5.%6."/>
      <w:lvlJc w:val="left"/>
      <w:pPr>
        <w:ind w:left="2826" w:hanging="936"/>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3834" w:hanging="1224"/>
      </w:pPr>
      <w:rPr>
        <w:rFonts w:hint="default"/>
      </w:rPr>
    </w:lvl>
    <w:lvl w:ilvl="8">
      <w:start w:val="1"/>
      <w:numFmt w:val="decimal"/>
      <w:lvlText w:val="%1.%2.%3.%4.%5.%6.%7.%8.%9."/>
      <w:lvlJc w:val="left"/>
      <w:pPr>
        <w:ind w:left="4410" w:hanging="1440"/>
      </w:pPr>
      <w:rPr>
        <w:rFonts w:hint="default"/>
      </w:rPr>
    </w:lvl>
  </w:abstractNum>
  <w:abstractNum w:abstractNumId="1" w15:restartNumberingAfterBreak="0">
    <w:nsid w:val="03A91E10"/>
    <w:multiLevelType w:val="multilevel"/>
    <w:tmpl w:val="EB56FB16"/>
    <w:lvl w:ilvl="0">
      <w:start w:val="2"/>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053FD2"/>
    <w:multiLevelType w:val="multilevel"/>
    <w:tmpl w:val="9522BA76"/>
    <w:lvl w:ilvl="0">
      <w:start w:val="4"/>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4DF04CC"/>
    <w:multiLevelType w:val="multilevel"/>
    <w:tmpl w:val="AD922B3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EA863EE"/>
    <w:multiLevelType w:val="multilevel"/>
    <w:tmpl w:val="28CEAB48"/>
    <w:lvl w:ilvl="0">
      <w:start w:val="3"/>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F346BC2"/>
    <w:multiLevelType w:val="multilevel"/>
    <w:tmpl w:val="28CEAB48"/>
    <w:lvl w:ilvl="0">
      <w:start w:val="3"/>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82504121">
    <w:abstractNumId w:val="3"/>
  </w:num>
  <w:num w:numId="2" w16cid:durableId="1447194123">
    <w:abstractNumId w:val="1"/>
  </w:num>
  <w:num w:numId="3" w16cid:durableId="1073893752">
    <w:abstractNumId w:val="0"/>
  </w:num>
  <w:num w:numId="4" w16cid:durableId="1875388467">
    <w:abstractNumId w:val="4"/>
  </w:num>
  <w:num w:numId="5" w16cid:durableId="1352101793">
    <w:abstractNumId w:val="5"/>
  </w:num>
  <w:num w:numId="6" w16cid:durableId="7971429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946"/>
    <w:rsid w:val="000070F3"/>
    <w:rsid w:val="000106C6"/>
    <w:rsid w:val="00013F12"/>
    <w:rsid w:val="00014442"/>
    <w:rsid w:val="00014947"/>
    <w:rsid w:val="00017016"/>
    <w:rsid w:val="00017D95"/>
    <w:rsid w:val="0002060A"/>
    <w:rsid w:val="000225F2"/>
    <w:rsid w:val="00022C25"/>
    <w:rsid w:val="00024D9F"/>
    <w:rsid w:val="0003178B"/>
    <w:rsid w:val="00035C59"/>
    <w:rsid w:val="00036760"/>
    <w:rsid w:val="000373BE"/>
    <w:rsid w:val="0004518B"/>
    <w:rsid w:val="00046A6D"/>
    <w:rsid w:val="000564D6"/>
    <w:rsid w:val="000620A9"/>
    <w:rsid w:val="00062396"/>
    <w:rsid w:val="00071946"/>
    <w:rsid w:val="00072E80"/>
    <w:rsid w:val="000737FD"/>
    <w:rsid w:val="00080F95"/>
    <w:rsid w:val="00085282"/>
    <w:rsid w:val="000917A7"/>
    <w:rsid w:val="000936FB"/>
    <w:rsid w:val="000948DD"/>
    <w:rsid w:val="0009633A"/>
    <w:rsid w:val="000978C2"/>
    <w:rsid w:val="000A3BA5"/>
    <w:rsid w:val="000B3553"/>
    <w:rsid w:val="000B3CE5"/>
    <w:rsid w:val="000C01C0"/>
    <w:rsid w:val="000C0C5B"/>
    <w:rsid w:val="000C116F"/>
    <w:rsid w:val="000C2C56"/>
    <w:rsid w:val="000C67B1"/>
    <w:rsid w:val="000C6DB6"/>
    <w:rsid w:val="000D542E"/>
    <w:rsid w:val="000D5F72"/>
    <w:rsid w:val="000D7348"/>
    <w:rsid w:val="000E0179"/>
    <w:rsid w:val="000E08C7"/>
    <w:rsid w:val="000E2A7D"/>
    <w:rsid w:val="000E6AF4"/>
    <w:rsid w:val="00104646"/>
    <w:rsid w:val="00104BC8"/>
    <w:rsid w:val="001057EC"/>
    <w:rsid w:val="00107F65"/>
    <w:rsid w:val="00110AD4"/>
    <w:rsid w:val="001117B2"/>
    <w:rsid w:val="001126B5"/>
    <w:rsid w:val="00112B90"/>
    <w:rsid w:val="001174B0"/>
    <w:rsid w:val="001262F9"/>
    <w:rsid w:val="001300BD"/>
    <w:rsid w:val="00135E83"/>
    <w:rsid w:val="00135FA9"/>
    <w:rsid w:val="0013684D"/>
    <w:rsid w:val="00142120"/>
    <w:rsid w:val="0014212B"/>
    <w:rsid w:val="00152F8C"/>
    <w:rsid w:val="001534CF"/>
    <w:rsid w:val="001535C9"/>
    <w:rsid w:val="0015455E"/>
    <w:rsid w:val="001559F6"/>
    <w:rsid w:val="00157A4C"/>
    <w:rsid w:val="00163B52"/>
    <w:rsid w:val="00164DF5"/>
    <w:rsid w:val="00165302"/>
    <w:rsid w:val="00166AAC"/>
    <w:rsid w:val="001675B0"/>
    <w:rsid w:val="00181478"/>
    <w:rsid w:val="001819F3"/>
    <w:rsid w:val="00183FFB"/>
    <w:rsid w:val="00184174"/>
    <w:rsid w:val="00187BC4"/>
    <w:rsid w:val="00193304"/>
    <w:rsid w:val="00194B16"/>
    <w:rsid w:val="0019651A"/>
    <w:rsid w:val="0019692D"/>
    <w:rsid w:val="001A00BF"/>
    <w:rsid w:val="001B2172"/>
    <w:rsid w:val="001B299F"/>
    <w:rsid w:val="001B32EC"/>
    <w:rsid w:val="001C325D"/>
    <w:rsid w:val="001C4658"/>
    <w:rsid w:val="001C4A9B"/>
    <w:rsid w:val="001C51F5"/>
    <w:rsid w:val="001D41C2"/>
    <w:rsid w:val="001E1F38"/>
    <w:rsid w:val="001E3FFC"/>
    <w:rsid w:val="001E484B"/>
    <w:rsid w:val="001E6D66"/>
    <w:rsid w:val="001F2349"/>
    <w:rsid w:val="001F2EFA"/>
    <w:rsid w:val="0020136D"/>
    <w:rsid w:val="00202610"/>
    <w:rsid w:val="002059B5"/>
    <w:rsid w:val="00210A95"/>
    <w:rsid w:val="002271C1"/>
    <w:rsid w:val="00237C64"/>
    <w:rsid w:val="00240564"/>
    <w:rsid w:val="002409E6"/>
    <w:rsid w:val="00251D2C"/>
    <w:rsid w:val="00252D68"/>
    <w:rsid w:val="00253218"/>
    <w:rsid w:val="00254401"/>
    <w:rsid w:val="002563BD"/>
    <w:rsid w:val="00257352"/>
    <w:rsid w:val="00260BE5"/>
    <w:rsid w:val="00260E1C"/>
    <w:rsid w:val="0026153A"/>
    <w:rsid w:val="00263956"/>
    <w:rsid w:val="00274E63"/>
    <w:rsid w:val="00282095"/>
    <w:rsid w:val="00287CC0"/>
    <w:rsid w:val="0029359F"/>
    <w:rsid w:val="00294841"/>
    <w:rsid w:val="002952E7"/>
    <w:rsid w:val="002A19A7"/>
    <w:rsid w:val="002A47B7"/>
    <w:rsid w:val="002A52EA"/>
    <w:rsid w:val="002A60EA"/>
    <w:rsid w:val="002A75EE"/>
    <w:rsid w:val="002A7851"/>
    <w:rsid w:val="002B5319"/>
    <w:rsid w:val="002B5639"/>
    <w:rsid w:val="002B7972"/>
    <w:rsid w:val="002C173D"/>
    <w:rsid w:val="002C2564"/>
    <w:rsid w:val="002D363C"/>
    <w:rsid w:val="002E2707"/>
    <w:rsid w:val="002E3B21"/>
    <w:rsid w:val="002E720F"/>
    <w:rsid w:val="002F6895"/>
    <w:rsid w:val="0030081D"/>
    <w:rsid w:val="003013CB"/>
    <w:rsid w:val="00311257"/>
    <w:rsid w:val="00311CB7"/>
    <w:rsid w:val="00313EC7"/>
    <w:rsid w:val="003164A8"/>
    <w:rsid w:val="00323A50"/>
    <w:rsid w:val="00330921"/>
    <w:rsid w:val="0033218E"/>
    <w:rsid w:val="00333BDD"/>
    <w:rsid w:val="0034064E"/>
    <w:rsid w:val="00341D45"/>
    <w:rsid w:val="003436FB"/>
    <w:rsid w:val="00346EA5"/>
    <w:rsid w:val="00347360"/>
    <w:rsid w:val="0036064F"/>
    <w:rsid w:val="00384BA1"/>
    <w:rsid w:val="0038762E"/>
    <w:rsid w:val="00391285"/>
    <w:rsid w:val="00393402"/>
    <w:rsid w:val="00397ACE"/>
    <w:rsid w:val="003A6877"/>
    <w:rsid w:val="003A75C6"/>
    <w:rsid w:val="003B150B"/>
    <w:rsid w:val="003B1A5D"/>
    <w:rsid w:val="003B6D53"/>
    <w:rsid w:val="003C2D35"/>
    <w:rsid w:val="003C3D37"/>
    <w:rsid w:val="003C4CD6"/>
    <w:rsid w:val="003C6E93"/>
    <w:rsid w:val="003D118E"/>
    <w:rsid w:val="003D34B2"/>
    <w:rsid w:val="003D53D9"/>
    <w:rsid w:val="003D5770"/>
    <w:rsid w:val="003D6FC4"/>
    <w:rsid w:val="003D7131"/>
    <w:rsid w:val="003E0CF1"/>
    <w:rsid w:val="003F0BF1"/>
    <w:rsid w:val="003F7CA8"/>
    <w:rsid w:val="004027B4"/>
    <w:rsid w:val="004115FC"/>
    <w:rsid w:val="00412CF8"/>
    <w:rsid w:val="00413C8E"/>
    <w:rsid w:val="004158C1"/>
    <w:rsid w:val="00421AB2"/>
    <w:rsid w:val="00422567"/>
    <w:rsid w:val="00422642"/>
    <w:rsid w:val="00424E9B"/>
    <w:rsid w:val="00426F50"/>
    <w:rsid w:val="004321B0"/>
    <w:rsid w:val="00454494"/>
    <w:rsid w:val="004569D8"/>
    <w:rsid w:val="00457CDD"/>
    <w:rsid w:val="00463691"/>
    <w:rsid w:val="00465DCC"/>
    <w:rsid w:val="0047551A"/>
    <w:rsid w:val="00477C44"/>
    <w:rsid w:val="00480922"/>
    <w:rsid w:val="0048316B"/>
    <w:rsid w:val="004857D6"/>
    <w:rsid w:val="00495A71"/>
    <w:rsid w:val="00497C55"/>
    <w:rsid w:val="004A1E90"/>
    <w:rsid w:val="004A533B"/>
    <w:rsid w:val="004A7A50"/>
    <w:rsid w:val="004B1B4C"/>
    <w:rsid w:val="004B4603"/>
    <w:rsid w:val="004B580A"/>
    <w:rsid w:val="004C1AF7"/>
    <w:rsid w:val="004C30CC"/>
    <w:rsid w:val="004D1D67"/>
    <w:rsid w:val="004D204B"/>
    <w:rsid w:val="004E25A3"/>
    <w:rsid w:val="004E25FF"/>
    <w:rsid w:val="004E4A2C"/>
    <w:rsid w:val="004F68EE"/>
    <w:rsid w:val="00500DF2"/>
    <w:rsid w:val="00500F4A"/>
    <w:rsid w:val="00502342"/>
    <w:rsid w:val="00502A21"/>
    <w:rsid w:val="00502F7C"/>
    <w:rsid w:val="005034AF"/>
    <w:rsid w:val="00514BEF"/>
    <w:rsid w:val="0053115E"/>
    <w:rsid w:val="00531803"/>
    <w:rsid w:val="00534D67"/>
    <w:rsid w:val="00536FD7"/>
    <w:rsid w:val="00545587"/>
    <w:rsid w:val="00550040"/>
    <w:rsid w:val="0055010F"/>
    <w:rsid w:val="005611DB"/>
    <w:rsid w:val="005705A9"/>
    <w:rsid w:val="005743CA"/>
    <w:rsid w:val="00574DC8"/>
    <w:rsid w:val="00577724"/>
    <w:rsid w:val="005779FD"/>
    <w:rsid w:val="005805A0"/>
    <w:rsid w:val="00580A41"/>
    <w:rsid w:val="00582821"/>
    <w:rsid w:val="00582F6D"/>
    <w:rsid w:val="00585234"/>
    <w:rsid w:val="0059047E"/>
    <w:rsid w:val="00591677"/>
    <w:rsid w:val="00593983"/>
    <w:rsid w:val="0059445A"/>
    <w:rsid w:val="005A4908"/>
    <w:rsid w:val="005A771C"/>
    <w:rsid w:val="005B0BD4"/>
    <w:rsid w:val="005B313F"/>
    <w:rsid w:val="005B42A1"/>
    <w:rsid w:val="005B44FF"/>
    <w:rsid w:val="005B6F71"/>
    <w:rsid w:val="005C7F17"/>
    <w:rsid w:val="005D1DD0"/>
    <w:rsid w:val="005D4FF2"/>
    <w:rsid w:val="005E1765"/>
    <w:rsid w:val="005E34EA"/>
    <w:rsid w:val="005E4D51"/>
    <w:rsid w:val="005F0574"/>
    <w:rsid w:val="005F18A7"/>
    <w:rsid w:val="0060262B"/>
    <w:rsid w:val="00604BAA"/>
    <w:rsid w:val="00604BE5"/>
    <w:rsid w:val="006077ED"/>
    <w:rsid w:val="0061362F"/>
    <w:rsid w:val="00613CBC"/>
    <w:rsid w:val="00614139"/>
    <w:rsid w:val="0061574F"/>
    <w:rsid w:val="00616B06"/>
    <w:rsid w:val="00617128"/>
    <w:rsid w:val="00621F66"/>
    <w:rsid w:val="00626A1F"/>
    <w:rsid w:val="006331CC"/>
    <w:rsid w:val="006363C6"/>
    <w:rsid w:val="006378EB"/>
    <w:rsid w:val="00641D2A"/>
    <w:rsid w:val="00647C94"/>
    <w:rsid w:val="00651307"/>
    <w:rsid w:val="00654B56"/>
    <w:rsid w:val="00660295"/>
    <w:rsid w:val="00670332"/>
    <w:rsid w:val="00674A48"/>
    <w:rsid w:val="00675785"/>
    <w:rsid w:val="00677940"/>
    <w:rsid w:val="00681AD3"/>
    <w:rsid w:val="00686CF9"/>
    <w:rsid w:val="006875D7"/>
    <w:rsid w:val="00692214"/>
    <w:rsid w:val="006A1513"/>
    <w:rsid w:val="006A3E01"/>
    <w:rsid w:val="006A47C1"/>
    <w:rsid w:val="006B0D11"/>
    <w:rsid w:val="006B6059"/>
    <w:rsid w:val="006B7170"/>
    <w:rsid w:val="006C2229"/>
    <w:rsid w:val="006C538A"/>
    <w:rsid w:val="006C73D2"/>
    <w:rsid w:val="006C7AA8"/>
    <w:rsid w:val="006D216C"/>
    <w:rsid w:val="006D5A5E"/>
    <w:rsid w:val="006F1819"/>
    <w:rsid w:val="006F2294"/>
    <w:rsid w:val="006F64FA"/>
    <w:rsid w:val="00703559"/>
    <w:rsid w:val="007062DE"/>
    <w:rsid w:val="00711D56"/>
    <w:rsid w:val="00722942"/>
    <w:rsid w:val="0072317C"/>
    <w:rsid w:val="00727421"/>
    <w:rsid w:val="00732C0A"/>
    <w:rsid w:val="00734740"/>
    <w:rsid w:val="007439F6"/>
    <w:rsid w:val="00745E24"/>
    <w:rsid w:val="00747315"/>
    <w:rsid w:val="007534E0"/>
    <w:rsid w:val="00756056"/>
    <w:rsid w:val="00757D2A"/>
    <w:rsid w:val="007646A9"/>
    <w:rsid w:val="00770C0E"/>
    <w:rsid w:val="00771F09"/>
    <w:rsid w:val="0077384F"/>
    <w:rsid w:val="00775223"/>
    <w:rsid w:val="00775777"/>
    <w:rsid w:val="00777278"/>
    <w:rsid w:val="0078441C"/>
    <w:rsid w:val="007A0509"/>
    <w:rsid w:val="007A2771"/>
    <w:rsid w:val="007A2C2E"/>
    <w:rsid w:val="007A3A46"/>
    <w:rsid w:val="007A469B"/>
    <w:rsid w:val="007B3794"/>
    <w:rsid w:val="007B5EBF"/>
    <w:rsid w:val="007B7300"/>
    <w:rsid w:val="007C3EF1"/>
    <w:rsid w:val="007C43FB"/>
    <w:rsid w:val="007C6AB0"/>
    <w:rsid w:val="007C6C40"/>
    <w:rsid w:val="007D4231"/>
    <w:rsid w:val="007E28E4"/>
    <w:rsid w:val="007F1097"/>
    <w:rsid w:val="00806B87"/>
    <w:rsid w:val="00814280"/>
    <w:rsid w:val="00817B32"/>
    <w:rsid w:val="008226C5"/>
    <w:rsid w:val="00833495"/>
    <w:rsid w:val="00837A14"/>
    <w:rsid w:val="008548BB"/>
    <w:rsid w:val="0085640F"/>
    <w:rsid w:val="00857CA5"/>
    <w:rsid w:val="00862538"/>
    <w:rsid w:val="00867715"/>
    <w:rsid w:val="00873E95"/>
    <w:rsid w:val="00874AB8"/>
    <w:rsid w:val="00880092"/>
    <w:rsid w:val="00880691"/>
    <w:rsid w:val="00886338"/>
    <w:rsid w:val="008900C2"/>
    <w:rsid w:val="008940D9"/>
    <w:rsid w:val="0089416C"/>
    <w:rsid w:val="00896DF8"/>
    <w:rsid w:val="008A0582"/>
    <w:rsid w:val="008A7072"/>
    <w:rsid w:val="008A7426"/>
    <w:rsid w:val="008A7C57"/>
    <w:rsid w:val="008C1AB8"/>
    <w:rsid w:val="008C29F7"/>
    <w:rsid w:val="008C621D"/>
    <w:rsid w:val="008D155A"/>
    <w:rsid w:val="008D38F7"/>
    <w:rsid w:val="008D39D0"/>
    <w:rsid w:val="008E7770"/>
    <w:rsid w:val="008F07BD"/>
    <w:rsid w:val="008F569B"/>
    <w:rsid w:val="009003FF"/>
    <w:rsid w:val="009040F5"/>
    <w:rsid w:val="00906316"/>
    <w:rsid w:val="00912BB1"/>
    <w:rsid w:val="00913E3D"/>
    <w:rsid w:val="00914BB0"/>
    <w:rsid w:val="0091735E"/>
    <w:rsid w:val="00931988"/>
    <w:rsid w:val="00934754"/>
    <w:rsid w:val="00935E68"/>
    <w:rsid w:val="00942BA8"/>
    <w:rsid w:val="009448C8"/>
    <w:rsid w:val="00950831"/>
    <w:rsid w:val="009540D7"/>
    <w:rsid w:val="00954A7F"/>
    <w:rsid w:val="00957308"/>
    <w:rsid w:val="00962E65"/>
    <w:rsid w:val="009631C1"/>
    <w:rsid w:val="00966FBD"/>
    <w:rsid w:val="0096771D"/>
    <w:rsid w:val="00971D6E"/>
    <w:rsid w:val="00974715"/>
    <w:rsid w:val="009860D7"/>
    <w:rsid w:val="00986207"/>
    <w:rsid w:val="009867E2"/>
    <w:rsid w:val="009964A2"/>
    <w:rsid w:val="009972DE"/>
    <w:rsid w:val="009A29FE"/>
    <w:rsid w:val="009A6B5F"/>
    <w:rsid w:val="009B0FE8"/>
    <w:rsid w:val="009B6DE9"/>
    <w:rsid w:val="009C568E"/>
    <w:rsid w:val="009E3778"/>
    <w:rsid w:val="009E66CB"/>
    <w:rsid w:val="009E7ABE"/>
    <w:rsid w:val="009F0059"/>
    <w:rsid w:val="00A0541F"/>
    <w:rsid w:val="00A1203C"/>
    <w:rsid w:val="00A20303"/>
    <w:rsid w:val="00A36DFD"/>
    <w:rsid w:val="00A4550F"/>
    <w:rsid w:val="00A456FA"/>
    <w:rsid w:val="00A5384A"/>
    <w:rsid w:val="00A56471"/>
    <w:rsid w:val="00A56954"/>
    <w:rsid w:val="00A57ADB"/>
    <w:rsid w:val="00A60877"/>
    <w:rsid w:val="00A617C0"/>
    <w:rsid w:val="00A662C3"/>
    <w:rsid w:val="00A67F3C"/>
    <w:rsid w:val="00A752BE"/>
    <w:rsid w:val="00A77F5B"/>
    <w:rsid w:val="00A8254B"/>
    <w:rsid w:val="00A851CE"/>
    <w:rsid w:val="00A92E0B"/>
    <w:rsid w:val="00A9673D"/>
    <w:rsid w:val="00A97D14"/>
    <w:rsid w:val="00AA7968"/>
    <w:rsid w:val="00AB2165"/>
    <w:rsid w:val="00AB5E11"/>
    <w:rsid w:val="00AC1654"/>
    <w:rsid w:val="00AC2DB1"/>
    <w:rsid w:val="00AD53BF"/>
    <w:rsid w:val="00AD6FEA"/>
    <w:rsid w:val="00AE55FA"/>
    <w:rsid w:val="00AE7293"/>
    <w:rsid w:val="00AF183E"/>
    <w:rsid w:val="00AF3A7A"/>
    <w:rsid w:val="00AF5A7D"/>
    <w:rsid w:val="00B05EE2"/>
    <w:rsid w:val="00B14394"/>
    <w:rsid w:val="00B152C3"/>
    <w:rsid w:val="00B17E82"/>
    <w:rsid w:val="00B20E60"/>
    <w:rsid w:val="00B26719"/>
    <w:rsid w:val="00B30106"/>
    <w:rsid w:val="00B41DFC"/>
    <w:rsid w:val="00B51376"/>
    <w:rsid w:val="00B52FF0"/>
    <w:rsid w:val="00B53BB4"/>
    <w:rsid w:val="00B55839"/>
    <w:rsid w:val="00B57C9D"/>
    <w:rsid w:val="00B62060"/>
    <w:rsid w:val="00B629D1"/>
    <w:rsid w:val="00B630E6"/>
    <w:rsid w:val="00B77CC7"/>
    <w:rsid w:val="00B913A9"/>
    <w:rsid w:val="00B91486"/>
    <w:rsid w:val="00B91E07"/>
    <w:rsid w:val="00B925E6"/>
    <w:rsid w:val="00BA5178"/>
    <w:rsid w:val="00BA53DB"/>
    <w:rsid w:val="00BA5DD2"/>
    <w:rsid w:val="00BA728B"/>
    <w:rsid w:val="00BB5683"/>
    <w:rsid w:val="00BB7B15"/>
    <w:rsid w:val="00BE5293"/>
    <w:rsid w:val="00BE6CEA"/>
    <w:rsid w:val="00BF3E51"/>
    <w:rsid w:val="00C02313"/>
    <w:rsid w:val="00C04146"/>
    <w:rsid w:val="00C05D28"/>
    <w:rsid w:val="00C062EB"/>
    <w:rsid w:val="00C07A23"/>
    <w:rsid w:val="00C1059E"/>
    <w:rsid w:val="00C11085"/>
    <w:rsid w:val="00C1433C"/>
    <w:rsid w:val="00C2181E"/>
    <w:rsid w:val="00C239C9"/>
    <w:rsid w:val="00C3116F"/>
    <w:rsid w:val="00C3301B"/>
    <w:rsid w:val="00C45A49"/>
    <w:rsid w:val="00C46187"/>
    <w:rsid w:val="00C51503"/>
    <w:rsid w:val="00C64D1E"/>
    <w:rsid w:val="00C65621"/>
    <w:rsid w:val="00C67399"/>
    <w:rsid w:val="00C673A7"/>
    <w:rsid w:val="00C7266B"/>
    <w:rsid w:val="00C86964"/>
    <w:rsid w:val="00C87105"/>
    <w:rsid w:val="00C92676"/>
    <w:rsid w:val="00CA0097"/>
    <w:rsid w:val="00CA0799"/>
    <w:rsid w:val="00CA3FAE"/>
    <w:rsid w:val="00CA42CE"/>
    <w:rsid w:val="00CA73E0"/>
    <w:rsid w:val="00CB6B56"/>
    <w:rsid w:val="00CB6BAE"/>
    <w:rsid w:val="00CC088C"/>
    <w:rsid w:val="00CC2313"/>
    <w:rsid w:val="00CC2DF1"/>
    <w:rsid w:val="00CC6926"/>
    <w:rsid w:val="00CC6AF6"/>
    <w:rsid w:val="00CC7FFC"/>
    <w:rsid w:val="00CD1803"/>
    <w:rsid w:val="00CD34D5"/>
    <w:rsid w:val="00CD762C"/>
    <w:rsid w:val="00CE0D75"/>
    <w:rsid w:val="00CF1363"/>
    <w:rsid w:val="00CF5EC5"/>
    <w:rsid w:val="00D024F5"/>
    <w:rsid w:val="00D066CA"/>
    <w:rsid w:val="00D135A3"/>
    <w:rsid w:val="00D17908"/>
    <w:rsid w:val="00D21D27"/>
    <w:rsid w:val="00D24299"/>
    <w:rsid w:val="00D27284"/>
    <w:rsid w:val="00D30C81"/>
    <w:rsid w:val="00D334C1"/>
    <w:rsid w:val="00D37A90"/>
    <w:rsid w:val="00D4035A"/>
    <w:rsid w:val="00D40520"/>
    <w:rsid w:val="00D47342"/>
    <w:rsid w:val="00D562F1"/>
    <w:rsid w:val="00D624B2"/>
    <w:rsid w:val="00D70DB5"/>
    <w:rsid w:val="00D762AC"/>
    <w:rsid w:val="00D76771"/>
    <w:rsid w:val="00D76DE7"/>
    <w:rsid w:val="00D801B7"/>
    <w:rsid w:val="00D817B0"/>
    <w:rsid w:val="00D81CBC"/>
    <w:rsid w:val="00D86B0E"/>
    <w:rsid w:val="00D90AD1"/>
    <w:rsid w:val="00D96129"/>
    <w:rsid w:val="00DA1059"/>
    <w:rsid w:val="00DB0D70"/>
    <w:rsid w:val="00DC0D8A"/>
    <w:rsid w:val="00DC22B4"/>
    <w:rsid w:val="00DC2D73"/>
    <w:rsid w:val="00DD1986"/>
    <w:rsid w:val="00DD4109"/>
    <w:rsid w:val="00DE1B3C"/>
    <w:rsid w:val="00DE4C03"/>
    <w:rsid w:val="00DE4D7D"/>
    <w:rsid w:val="00DF57B3"/>
    <w:rsid w:val="00DF63BA"/>
    <w:rsid w:val="00E00D73"/>
    <w:rsid w:val="00E0581C"/>
    <w:rsid w:val="00E103A6"/>
    <w:rsid w:val="00E1159F"/>
    <w:rsid w:val="00E13744"/>
    <w:rsid w:val="00E17DBB"/>
    <w:rsid w:val="00E212BC"/>
    <w:rsid w:val="00E239EE"/>
    <w:rsid w:val="00E250D5"/>
    <w:rsid w:val="00E252A3"/>
    <w:rsid w:val="00E25DDA"/>
    <w:rsid w:val="00E27C42"/>
    <w:rsid w:val="00E303B8"/>
    <w:rsid w:val="00E30E5B"/>
    <w:rsid w:val="00E37A58"/>
    <w:rsid w:val="00E472D6"/>
    <w:rsid w:val="00E57D23"/>
    <w:rsid w:val="00E62AA2"/>
    <w:rsid w:val="00E642DB"/>
    <w:rsid w:val="00E64611"/>
    <w:rsid w:val="00E64722"/>
    <w:rsid w:val="00E65751"/>
    <w:rsid w:val="00E72A2A"/>
    <w:rsid w:val="00E74A9B"/>
    <w:rsid w:val="00E75EFE"/>
    <w:rsid w:val="00E84AC1"/>
    <w:rsid w:val="00E90703"/>
    <w:rsid w:val="00E909CF"/>
    <w:rsid w:val="00E93E31"/>
    <w:rsid w:val="00E97100"/>
    <w:rsid w:val="00E97BB7"/>
    <w:rsid w:val="00EA5E86"/>
    <w:rsid w:val="00EB07A9"/>
    <w:rsid w:val="00ED0380"/>
    <w:rsid w:val="00ED7830"/>
    <w:rsid w:val="00EE3441"/>
    <w:rsid w:val="00EE5FB0"/>
    <w:rsid w:val="00EF0518"/>
    <w:rsid w:val="00EF20C6"/>
    <w:rsid w:val="00EF507C"/>
    <w:rsid w:val="00EF69D4"/>
    <w:rsid w:val="00F00B4C"/>
    <w:rsid w:val="00F01660"/>
    <w:rsid w:val="00F043C4"/>
    <w:rsid w:val="00F058DE"/>
    <w:rsid w:val="00F06C90"/>
    <w:rsid w:val="00F2584A"/>
    <w:rsid w:val="00F31D38"/>
    <w:rsid w:val="00F33570"/>
    <w:rsid w:val="00F356ED"/>
    <w:rsid w:val="00F41088"/>
    <w:rsid w:val="00F53538"/>
    <w:rsid w:val="00F54CD0"/>
    <w:rsid w:val="00F55605"/>
    <w:rsid w:val="00F5771D"/>
    <w:rsid w:val="00F57FF8"/>
    <w:rsid w:val="00F66D2C"/>
    <w:rsid w:val="00F74297"/>
    <w:rsid w:val="00F749AB"/>
    <w:rsid w:val="00F75FED"/>
    <w:rsid w:val="00F836FD"/>
    <w:rsid w:val="00F83F5C"/>
    <w:rsid w:val="00F8500F"/>
    <w:rsid w:val="00F8741E"/>
    <w:rsid w:val="00F94116"/>
    <w:rsid w:val="00F946B8"/>
    <w:rsid w:val="00F95EE5"/>
    <w:rsid w:val="00F97E66"/>
    <w:rsid w:val="00FA37CF"/>
    <w:rsid w:val="00FA51B9"/>
    <w:rsid w:val="00FB09EC"/>
    <w:rsid w:val="00FB0ACD"/>
    <w:rsid w:val="00FC209C"/>
    <w:rsid w:val="00FC30DF"/>
    <w:rsid w:val="00FD0718"/>
    <w:rsid w:val="00FD23D9"/>
    <w:rsid w:val="00FD6FC0"/>
    <w:rsid w:val="00FD7228"/>
    <w:rsid w:val="00FE2A83"/>
    <w:rsid w:val="00FE7A05"/>
    <w:rsid w:val="00FF549B"/>
    <w:rsid w:val="00FF57C6"/>
    <w:rsid w:val="00FF717B"/>
    <w:rsid w:val="00FF7A44"/>
    <w:rsid w:val="020BB850"/>
    <w:rsid w:val="04BFAC76"/>
    <w:rsid w:val="096AEB68"/>
    <w:rsid w:val="0A2C9FC2"/>
    <w:rsid w:val="0B03A2F1"/>
    <w:rsid w:val="0F142437"/>
    <w:rsid w:val="0FF9CBD0"/>
    <w:rsid w:val="178224DF"/>
    <w:rsid w:val="1C899460"/>
    <w:rsid w:val="202AFE4E"/>
    <w:rsid w:val="21144FBB"/>
    <w:rsid w:val="21E4005D"/>
    <w:rsid w:val="25AC8152"/>
    <w:rsid w:val="2BE2DD2B"/>
    <w:rsid w:val="2CBEEBB2"/>
    <w:rsid w:val="2DB5E50F"/>
    <w:rsid w:val="2DF96014"/>
    <w:rsid w:val="2E7DEB9E"/>
    <w:rsid w:val="30D1FAE3"/>
    <w:rsid w:val="34C91FB0"/>
    <w:rsid w:val="35578591"/>
    <w:rsid w:val="395B2499"/>
    <w:rsid w:val="398FD472"/>
    <w:rsid w:val="3ACBC8AC"/>
    <w:rsid w:val="3B48757E"/>
    <w:rsid w:val="3C70DD28"/>
    <w:rsid w:val="4454368A"/>
    <w:rsid w:val="45B758E5"/>
    <w:rsid w:val="47F76DA4"/>
    <w:rsid w:val="48483D49"/>
    <w:rsid w:val="4992579E"/>
    <w:rsid w:val="49E1B409"/>
    <w:rsid w:val="4C030999"/>
    <w:rsid w:val="4CD464DA"/>
    <w:rsid w:val="529AC994"/>
    <w:rsid w:val="53DCE7F5"/>
    <w:rsid w:val="559D7AAC"/>
    <w:rsid w:val="56A24957"/>
    <w:rsid w:val="56F31989"/>
    <w:rsid w:val="610B7638"/>
    <w:rsid w:val="62F3276B"/>
    <w:rsid w:val="6350C451"/>
    <w:rsid w:val="650B7399"/>
    <w:rsid w:val="66D65C07"/>
    <w:rsid w:val="6C40B283"/>
    <w:rsid w:val="6D82E2A6"/>
    <w:rsid w:val="716C0B89"/>
    <w:rsid w:val="738078BD"/>
    <w:rsid w:val="76C21B71"/>
    <w:rsid w:val="7AEC6FBB"/>
    <w:rsid w:val="7D43A2E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F75571"/>
  <w15:chartTrackingRefBased/>
  <w15:docId w15:val="{E13B2E00-B6F4-48F3-AB02-EEBFCEB54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DB5"/>
    <w:pPr>
      <w:spacing w:after="200" w:line="276" w:lineRule="auto"/>
    </w:pPr>
    <w:rPr>
      <w:sz w:val="22"/>
      <w:szCs w:val="22"/>
      <w:lang w:bidi="en-US"/>
    </w:rPr>
  </w:style>
  <w:style w:type="paragraph" w:styleId="Heading1">
    <w:name w:val="heading 1"/>
    <w:basedOn w:val="Normal"/>
    <w:next w:val="Normal"/>
    <w:link w:val="Heading1Char"/>
    <w:uiPriority w:val="9"/>
    <w:qFormat/>
    <w:rsid w:val="00D70DB5"/>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D70DB5"/>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semiHidden/>
    <w:unhideWhenUsed/>
    <w:qFormat/>
    <w:rsid w:val="00D70DB5"/>
    <w:pPr>
      <w:spacing w:before="200" w:after="0" w:line="271" w:lineRule="auto"/>
      <w:outlineLvl w:val="2"/>
    </w:pPr>
    <w:rPr>
      <w:rFonts w:ascii="Cambria" w:hAnsi="Cambria"/>
      <w:b/>
      <w:bCs/>
    </w:rPr>
  </w:style>
  <w:style w:type="paragraph" w:styleId="Heading4">
    <w:name w:val="heading 4"/>
    <w:basedOn w:val="Normal"/>
    <w:next w:val="Normal"/>
    <w:link w:val="Heading4Char"/>
    <w:uiPriority w:val="9"/>
    <w:semiHidden/>
    <w:unhideWhenUsed/>
    <w:qFormat/>
    <w:rsid w:val="00D70DB5"/>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D70DB5"/>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D70DB5"/>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D70DB5"/>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D70DB5"/>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D70DB5"/>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70DB5"/>
    <w:rPr>
      <w:rFonts w:ascii="Cambria" w:eastAsia="Times New Roman" w:hAnsi="Cambria" w:cs="Times New Roman"/>
      <w:b/>
      <w:bCs/>
      <w:sz w:val="28"/>
      <w:szCs w:val="28"/>
    </w:rPr>
  </w:style>
  <w:style w:type="character" w:customStyle="1" w:styleId="Heading2Char">
    <w:name w:val="Heading 2 Char"/>
    <w:link w:val="Heading2"/>
    <w:uiPriority w:val="9"/>
    <w:rsid w:val="00D70DB5"/>
    <w:rPr>
      <w:rFonts w:ascii="Cambria" w:eastAsia="Times New Roman" w:hAnsi="Cambria" w:cs="Times New Roman"/>
      <w:b/>
      <w:bCs/>
      <w:sz w:val="26"/>
      <w:szCs w:val="26"/>
    </w:rPr>
  </w:style>
  <w:style w:type="character" w:customStyle="1" w:styleId="Heading3Char">
    <w:name w:val="Heading 3 Char"/>
    <w:link w:val="Heading3"/>
    <w:uiPriority w:val="9"/>
    <w:rsid w:val="00D70DB5"/>
    <w:rPr>
      <w:rFonts w:ascii="Cambria" w:eastAsia="Times New Roman" w:hAnsi="Cambria" w:cs="Times New Roman"/>
      <w:b/>
      <w:bCs/>
    </w:rPr>
  </w:style>
  <w:style w:type="character" w:customStyle="1" w:styleId="Heading4Char">
    <w:name w:val="Heading 4 Char"/>
    <w:link w:val="Heading4"/>
    <w:uiPriority w:val="9"/>
    <w:semiHidden/>
    <w:rsid w:val="00D70DB5"/>
    <w:rPr>
      <w:rFonts w:ascii="Cambria" w:eastAsia="Times New Roman" w:hAnsi="Cambria" w:cs="Times New Roman"/>
      <w:b/>
      <w:bCs/>
      <w:i/>
      <w:iCs/>
    </w:rPr>
  </w:style>
  <w:style w:type="character" w:customStyle="1" w:styleId="Heading5Char">
    <w:name w:val="Heading 5 Char"/>
    <w:link w:val="Heading5"/>
    <w:uiPriority w:val="9"/>
    <w:semiHidden/>
    <w:rsid w:val="00D70DB5"/>
    <w:rPr>
      <w:rFonts w:ascii="Cambria" w:eastAsia="Times New Roman" w:hAnsi="Cambria" w:cs="Times New Roman"/>
      <w:b/>
      <w:bCs/>
      <w:color w:val="7F7F7F"/>
    </w:rPr>
  </w:style>
  <w:style w:type="character" w:customStyle="1" w:styleId="Heading6Char">
    <w:name w:val="Heading 6 Char"/>
    <w:link w:val="Heading6"/>
    <w:uiPriority w:val="9"/>
    <w:semiHidden/>
    <w:rsid w:val="00D70DB5"/>
    <w:rPr>
      <w:rFonts w:ascii="Cambria" w:eastAsia="Times New Roman" w:hAnsi="Cambria" w:cs="Times New Roman"/>
      <w:b/>
      <w:bCs/>
      <w:i/>
      <w:iCs/>
      <w:color w:val="7F7F7F"/>
    </w:rPr>
  </w:style>
  <w:style w:type="character" w:customStyle="1" w:styleId="Heading7Char">
    <w:name w:val="Heading 7 Char"/>
    <w:link w:val="Heading7"/>
    <w:uiPriority w:val="9"/>
    <w:semiHidden/>
    <w:rsid w:val="00D70DB5"/>
    <w:rPr>
      <w:rFonts w:ascii="Cambria" w:eastAsia="Times New Roman" w:hAnsi="Cambria" w:cs="Times New Roman"/>
      <w:i/>
      <w:iCs/>
    </w:rPr>
  </w:style>
  <w:style w:type="character" w:customStyle="1" w:styleId="Heading8Char">
    <w:name w:val="Heading 8 Char"/>
    <w:link w:val="Heading8"/>
    <w:uiPriority w:val="9"/>
    <w:semiHidden/>
    <w:rsid w:val="00D70DB5"/>
    <w:rPr>
      <w:rFonts w:ascii="Cambria" w:eastAsia="Times New Roman" w:hAnsi="Cambria" w:cs="Times New Roman"/>
      <w:sz w:val="20"/>
      <w:szCs w:val="20"/>
    </w:rPr>
  </w:style>
  <w:style w:type="character" w:customStyle="1" w:styleId="Heading9Char">
    <w:name w:val="Heading 9 Char"/>
    <w:link w:val="Heading9"/>
    <w:uiPriority w:val="9"/>
    <w:semiHidden/>
    <w:rsid w:val="00D70DB5"/>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D70DB5"/>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10"/>
    <w:rsid w:val="00D70DB5"/>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D70DB5"/>
    <w:pPr>
      <w:spacing w:after="600"/>
    </w:pPr>
    <w:rPr>
      <w:rFonts w:ascii="Cambria" w:hAnsi="Cambria"/>
      <w:i/>
      <w:iCs/>
      <w:spacing w:val="13"/>
      <w:sz w:val="24"/>
      <w:szCs w:val="24"/>
    </w:rPr>
  </w:style>
  <w:style w:type="character" w:customStyle="1" w:styleId="SubtitleChar">
    <w:name w:val="Subtitle Char"/>
    <w:link w:val="Subtitle"/>
    <w:uiPriority w:val="11"/>
    <w:rsid w:val="00D70DB5"/>
    <w:rPr>
      <w:rFonts w:ascii="Cambria" w:eastAsia="Times New Roman" w:hAnsi="Cambria" w:cs="Times New Roman"/>
      <w:i/>
      <w:iCs/>
      <w:spacing w:val="13"/>
      <w:sz w:val="24"/>
      <w:szCs w:val="24"/>
    </w:rPr>
  </w:style>
  <w:style w:type="character" w:styleId="Strong">
    <w:name w:val="Strong"/>
    <w:uiPriority w:val="22"/>
    <w:qFormat/>
    <w:rsid w:val="00D70DB5"/>
    <w:rPr>
      <w:b/>
      <w:bCs/>
    </w:rPr>
  </w:style>
  <w:style w:type="character" w:styleId="Emphasis">
    <w:name w:val="Emphasis"/>
    <w:uiPriority w:val="20"/>
    <w:qFormat/>
    <w:rsid w:val="00D70DB5"/>
    <w:rPr>
      <w:b/>
      <w:bCs/>
      <w:i/>
      <w:iCs/>
      <w:spacing w:val="10"/>
      <w:bdr w:val="none" w:sz="0" w:space="0" w:color="auto"/>
      <w:shd w:val="clear" w:color="auto" w:fill="auto"/>
    </w:rPr>
  </w:style>
  <w:style w:type="paragraph" w:styleId="NoSpacing">
    <w:name w:val="No Spacing"/>
    <w:basedOn w:val="Normal"/>
    <w:link w:val="NoSpacingChar"/>
    <w:uiPriority w:val="1"/>
    <w:qFormat/>
    <w:rsid w:val="00D70DB5"/>
    <w:pPr>
      <w:spacing w:after="0" w:line="240" w:lineRule="auto"/>
    </w:pPr>
  </w:style>
  <w:style w:type="paragraph" w:styleId="ListParagraph">
    <w:name w:val="List Paragraph"/>
    <w:basedOn w:val="Normal"/>
    <w:uiPriority w:val="34"/>
    <w:qFormat/>
    <w:rsid w:val="00D70DB5"/>
    <w:pPr>
      <w:ind w:left="720"/>
      <w:contextualSpacing/>
    </w:pPr>
  </w:style>
  <w:style w:type="paragraph" w:styleId="Quote">
    <w:name w:val="Quote"/>
    <w:basedOn w:val="Normal"/>
    <w:next w:val="Normal"/>
    <w:link w:val="QuoteChar"/>
    <w:uiPriority w:val="29"/>
    <w:qFormat/>
    <w:rsid w:val="00D70DB5"/>
    <w:pPr>
      <w:spacing w:before="200" w:after="0"/>
      <w:ind w:left="360" w:right="360"/>
    </w:pPr>
    <w:rPr>
      <w:i/>
      <w:iCs/>
    </w:rPr>
  </w:style>
  <w:style w:type="character" w:customStyle="1" w:styleId="QuoteChar">
    <w:name w:val="Quote Char"/>
    <w:link w:val="Quote"/>
    <w:uiPriority w:val="29"/>
    <w:rsid w:val="00D70DB5"/>
    <w:rPr>
      <w:i/>
      <w:iCs/>
    </w:rPr>
  </w:style>
  <w:style w:type="paragraph" w:styleId="IntenseQuote">
    <w:name w:val="Intense Quote"/>
    <w:basedOn w:val="Normal"/>
    <w:next w:val="Normal"/>
    <w:link w:val="IntenseQuoteChar"/>
    <w:uiPriority w:val="30"/>
    <w:qFormat/>
    <w:rsid w:val="00D70DB5"/>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D70DB5"/>
    <w:rPr>
      <w:b/>
      <w:bCs/>
      <w:i/>
      <w:iCs/>
    </w:rPr>
  </w:style>
  <w:style w:type="character" w:styleId="SubtleEmphasis">
    <w:name w:val="Subtle Emphasis"/>
    <w:uiPriority w:val="19"/>
    <w:qFormat/>
    <w:rsid w:val="00D70DB5"/>
    <w:rPr>
      <w:i/>
      <w:iCs/>
    </w:rPr>
  </w:style>
  <w:style w:type="character" w:styleId="IntenseEmphasis">
    <w:name w:val="Intense Emphasis"/>
    <w:uiPriority w:val="21"/>
    <w:qFormat/>
    <w:rsid w:val="00D70DB5"/>
    <w:rPr>
      <w:b/>
      <w:bCs/>
    </w:rPr>
  </w:style>
  <w:style w:type="character" w:styleId="SubtleReference">
    <w:name w:val="Subtle Reference"/>
    <w:uiPriority w:val="31"/>
    <w:qFormat/>
    <w:rsid w:val="00D70DB5"/>
    <w:rPr>
      <w:smallCaps/>
    </w:rPr>
  </w:style>
  <w:style w:type="character" w:styleId="IntenseReference">
    <w:name w:val="Intense Reference"/>
    <w:uiPriority w:val="32"/>
    <w:qFormat/>
    <w:rsid w:val="00D70DB5"/>
    <w:rPr>
      <w:smallCaps/>
      <w:spacing w:val="5"/>
      <w:u w:val="single"/>
    </w:rPr>
  </w:style>
  <w:style w:type="character" w:styleId="BookTitle">
    <w:name w:val="Book Title"/>
    <w:uiPriority w:val="33"/>
    <w:qFormat/>
    <w:rsid w:val="00D70DB5"/>
    <w:rPr>
      <w:i/>
      <w:iCs/>
      <w:smallCaps/>
      <w:spacing w:val="5"/>
    </w:rPr>
  </w:style>
  <w:style w:type="paragraph" w:styleId="TOCHeading">
    <w:name w:val="TOC Heading"/>
    <w:basedOn w:val="Heading1"/>
    <w:next w:val="Normal"/>
    <w:uiPriority w:val="39"/>
    <w:semiHidden/>
    <w:unhideWhenUsed/>
    <w:qFormat/>
    <w:rsid w:val="00D70DB5"/>
    <w:pPr>
      <w:outlineLvl w:val="9"/>
    </w:pPr>
  </w:style>
  <w:style w:type="paragraph" w:styleId="Caption">
    <w:name w:val="caption"/>
    <w:basedOn w:val="Normal"/>
    <w:next w:val="Normal"/>
    <w:uiPriority w:val="35"/>
    <w:semiHidden/>
    <w:unhideWhenUsed/>
    <w:rsid w:val="00D70DB5"/>
    <w:rPr>
      <w:b/>
      <w:bCs/>
      <w:sz w:val="18"/>
      <w:szCs w:val="18"/>
    </w:rPr>
  </w:style>
  <w:style w:type="character" w:customStyle="1" w:styleId="NoSpacingChar">
    <w:name w:val="No Spacing Char"/>
    <w:basedOn w:val="DefaultParagraphFont"/>
    <w:link w:val="NoSpacing"/>
    <w:uiPriority w:val="1"/>
    <w:rsid w:val="00D70DB5"/>
  </w:style>
  <w:style w:type="paragraph" w:styleId="Header">
    <w:name w:val="header"/>
    <w:basedOn w:val="Normal"/>
    <w:link w:val="HeaderChar"/>
    <w:uiPriority w:val="99"/>
    <w:unhideWhenUsed/>
    <w:rsid w:val="00D70DB5"/>
    <w:pPr>
      <w:tabs>
        <w:tab w:val="center" w:pos="4680"/>
        <w:tab w:val="right" w:pos="9360"/>
      </w:tabs>
    </w:pPr>
  </w:style>
  <w:style w:type="character" w:customStyle="1" w:styleId="HeaderChar">
    <w:name w:val="Header Char"/>
    <w:basedOn w:val="DefaultParagraphFont"/>
    <w:link w:val="Header"/>
    <w:uiPriority w:val="99"/>
    <w:rsid w:val="00D70DB5"/>
  </w:style>
  <w:style w:type="paragraph" w:styleId="Footer">
    <w:name w:val="footer"/>
    <w:basedOn w:val="Normal"/>
    <w:link w:val="FooterChar"/>
    <w:uiPriority w:val="99"/>
    <w:unhideWhenUsed/>
    <w:rsid w:val="00D70DB5"/>
    <w:pPr>
      <w:tabs>
        <w:tab w:val="center" w:pos="4680"/>
        <w:tab w:val="right" w:pos="9360"/>
      </w:tabs>
    </w:pPr>
  </w:style>
  <w:style w:type="character" w:customStyle="1" w:styleId="FooterChar">
    <w:name w:val="Footer Char"/>
    <w:basedOn w:val="DefaultParagraphFont"/>
    <w:link w:val="Footer"/>
    <w:uiPriority w:val="99"/>
    <w:rsid w:val="00D70DB5"/>
  </w:style>
  <w:style w:type="character" w:styleId="CommentReference">
    <w:name w:val="annotation reference"/>
    <w:uiPriority w:val="99"/>
    <w:semiHidden/>
    <w:unhideWhenUsed/>
    <w:rsid w:val="00E1159F"/>
    <w:rPr>
      <w:sz w:val="16"/>
      <w:szCs w:val="16"/>
    </w:rPr>
  </w:style>
  <w:style w:type="paragraph" w:styleId="CommentText">
    <w:name w:val="annotation text"/>
    <w:basedOn w:val="Normal"/>
    <w:link w:val="CommentTextChar"/>
    <w:uiPriority w:val="99"/>
    <w:unhideWhenUsed/>
    <w:rsid w:val="00E1159F"/>
    <w:rPr>
      <w:sz w:val="20"/>
      <w:szCs w:val="20"/>
    </w:rPr>
  </w:style>
  <w:style w:type="character" w:customStyle="1" w:styleId="CommentTextChar">
    <w:name w:val="Comment Text Char"/>
    <w:link w:val="CommentText"/>
    <w:uiPriority w:val="99"/>
    <w:rsid w:val="00E1159F"/>
    <w:rPr>
      <w:lang w:bidi="en-US"/>
    </w:rPr>
  </w:style>
  <w:style w:type="paragraph" w:styleId="CommentSubject">
    <w:name w:val="annotation subject"/>
    <w:basedOn w:val="CommentText"/>
    <w:next w:val="CommentText"/>
    <w:link w:val="CommentSubjectChar"/>
    <w:uiPriority w:val="99"/>
    <w:semiHidden/>
    <w:unhideWhenUsed/>
    <w:rsid w:val="00E1159F"/>
    <w:rPr>
      <w:b/>
      <w:bCs/>
    </w:rPr>
  </w:style>
  <w:style w:type="character" w:customStyle="1" w:styleId="CommentSubjectChar">
    <w:name w:val="Comment Subject Char"/>
    <w:link w:val="CommentSubject"/>
    <w:uiPriority w:val="99"/>
    <w:semiHidden/>
    <w:rsid w:val="00E1159F"/>
    <w:rPr>
      <w:b/>
      <w:bCs/>
      <w:lang w:bidi="en-US"/>
    </w:rPr>
  </w:style>
  <w:style w:type="paragraph" w:styleId="BalloonText">
    <w:name w:val="Balloon Text"/>
    <w:basedOn w:val="Normal"/>
    <w:link w:val="BalloonTextChar"/>
    <w:uiPriority w:val="99"/>
    <w:semiHidden/>
    <w:unhideWhenUsed/>
    <w:rsid w:val="00E1159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1159F"/>
    <w:rPr>
      <w:rFonts w:ascii="Tahoma" w:hAnsi="Tahoma" w:cs="Tahoma"/>
      <w:sz w:val="16"/>
      <w:szCs w:val="16"/>
      <w:lang w:bidi="en-US"/>
    </w:rPr>
  </w:style>
  <w:style w:type="paragraph" w:styleId="Revision">
    <w:name w:val="Revision"/>
    <w:hidden/>
    <w:uiPriority w:val="99"/>
    <w:semiHidden/>
    <w:rsid w:val="00550040"/>
    <w:rPr>
      <w:sz w:val="22"/>
      <w:szCs w:val="22"/>
      <w:lang w:bidi="en-US"/>
    </w:rPr>
  </w:style>
  <w:style w:type="character" w:styleId="Hyperlink">
    <w:name w:val="Hyperlink"/>
    <w:basedOn w:val="DefaultParagraphFont"/>
    <w:uiPriority w:val="99"/>
    <w:unhideWhenUsed/>
    <w:rsid w:val="00857CA5"/>
    <w:rPr>
      <w:color w:val="0563C1" w:themeColor="hyperlink"/>
      <w:u w:val="single"/>
    </w:rPr>
  </w:style>
  <w:style w:type="character" w:styleId="UnresolvedMention">
    <w:name w:val="Unresolved Mention"/>
    <w:basedOn w:val="DefaultParagraphFont"/>
    <w:uiPriority w:val="99"/>
    <w:semiHidden/>
    <w:unhideWhenUsed/>
    <w:rsid w:val="00857CA5"/>
    <w:rPr>
      <w:color w:val="605E5C"/>
      <w:shd w:val="clear" w:color="auto" w:fill="E1DFDD"/>
    </w:rPr>
  </w:style>
  <w:style w:type="table" w:styleId="TableGrid">
    <w:name w:val="Table Grid"/>
    <w:basedOn w:val="TableNormal"/>
    <w:uiPriority w:val="59"/>
    <w:rsid w:val="001814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E7A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33976">
      <w:bodyDiv w:val="1"/>
      <w:marLeft w:val="0"/>
      <w:marRight w:val="0"/>
      <w:marTop w:val="0"/>
      <w:marBottom w:val="0"/>
      <w:divBdr>
        <w:top w:val="none" w:sz="0" w:space="0" w:color="auto"/>
        <w:left w:val="none" w:sz="0" w:space="0" w:color="auto"/>
        <w:bottom w:val="none" w:sz="0" w:space="0" w:color="auto"/>
        <w:right w:val="none" w:sz="0" w:space="0" w:color="auto"/>
      </w:divBdr>
    </w:div>
    <w:div w:id="570043416">
      <w:bodyDiv w:val="1"/>
      <w:marLeft w:val="0"/>
      <w:marRight w:val="0"/>
      <w:marTop w:val="0"/>
      <w:marBottom w:val="0"/>
      <w:divBdr>
        <w:top w:val="none" w:sz="0" w:space="0" w:color="auto"/>
        <w:left w:val="none" w:sz="0" w:space="0" w:color="auto"/>
        <w:bottom w:val="none" w:sz="0" w:space="0" w:color="auto"/>
        <w:right w:val="none" w:sz="0" w:space="0" w:color="auto"/>
      </w:divBdr>
    </w:div>
    <w:div w:id="579407614">
      <w:bodyDiv w:val="1"/>
      <w:marLeft w:val="0"/>
      <w:marRight w:val="0"/>
      <w:marTop w:val="0"/>
      <w:marBottom w:val="0"/>
      <w:divBdr>
        <w:top w:val="none" w:sz="0" w:space="0" w:color="auto"/>
        <w:left w:val="none" w:sz="0" w:space="0" w:color="auto"/>
        <w:bottom w:val="none" w:sz="0" w:space="0" w:color="auto"/>
        <w:right w:val="none" w:sz="0" w:space="0" w:color="auto"/>
      </w:divBdr>
    </w:div>
    <w:div w:id="828669855">
      <w:bodyDiv w:val="1"/>
      <w:marLeft w:val="0"/>
      <w:marRight w:val="0"/>
      <w:marTop w:val="0"/>
      <w:marBottom w:val="0"/>
      <w:divBdr>
        <w:top w:val="none" w:sz="0" w:space="0" w:color="auto"/>
        <w:left w:val="none" w:sz="0" w:space="0" w:color="auto"/>
        <w:bottom w:val="none" w:sz="0" w:space="0" w:color="auto"/>
        <w:right w:val="none" w:sz="0" w:space="0" w:color="auto"/>
      </w:divBdr>
    </w:div>
    <w:div w:id="1182668147">
      <w:bodyDiv w:val="1"/>
      <w:marLeft w:val="0"/>
      <w:marRight w:val="0"/>
      <w:marTop w:val="0"/>
      <w:marBottom w:val="0"/>
      <w:divBdr>
        <w:top w:val="none" w:sz="0" w:space="0" w:color="auto"/>
        <w:left w:val="none" w:sz="0" w:space="0" w:color="auto"/>
        <w:bottom w:val="none" w:sz="0" w:space="0" w:color="auto"/>
        <w:right w:val="none" w:sz="0" w:space="0" w:color="auto"/>
      </w:divBdr>
    </w:div>
    <w:div w:id="1585989326">
      <w:bodyDiv w:val="1"/>
      <w:marLeft w:val="0"/>
      <w:marRight w:val="0"/>
      <w:marTop w:val="0"/>
      <w:marBottom w:val="0"/>
      <w:divBdr>
        <w:top w:val="none" w:sz="0" w:space="0" w:color="auto"/>
        <w:left w:val="none" w:sz="0" w:space="0" w:color="auto"/>
        <w:bottom w:val="none" w:sz="0" w:space="0" w:color="auto"/>
        <w:right w:val="none" w:sz="0" w:space="0" w:color="auto"/>
      </w:divBdr>
    </w:div>
    <w:div w:id="1802916923">
      <w:bodyDiv w:val="1"/>
      <w:marLeft w:val="0"/>
      <w:marRight w:val="0"/>
      <w:marTop w:val="0"/>
      <w:marBottom w:val="0"/>
      <w:divBdr>
        <w:top w:val="none" w:sz="0" w:space="0" w:color="auto"/>
        <w:left w:val="none" w:sz="0" w:space="0" w:color="auto"/>
        <w:bottom w:val="none" w:sz="0" w:space="0" w:color="auto"/>
        <w:right w:val="none" w:sz="0" w:space="0" w:color="auto"/>
      </w:divBdr>
    </w:div>
    <w:div w:id="214049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baseline="0">
                <a:solidFill>
                  <a:schemeClr val="tx1">
                    <a:lumMod val="65000"/>
                    <a:lumOff val="35000"/>
                  </a:schemeClr>
                </a:solidFill>
                <a:latin typeface="+mn-lt"/>
                <a:ea typeface="+mn-ea"/>
                <a:cs typeface="+mn-cs"/>
              </a:defRPr>
            </a:pPr>
            <a:r>
              <a:rPr lang="en-US"/>
              <a:t>Train</a:t>
            </a:r>
            <a:r>
              <a:rPr lang="en-US" baseline="0"/>
              <a:t> and Go</a:t>
            </a:r>
            <a:br>
              <a:rPr lang="en-US" baseline="0"/>
            </a:br>
            <a:r>
              <a:rPr lang="en-US"/>
              <a:t>Three-Year</a:t>
            </a:r>
            <a:r>
              <a:rPr lang="en-US" baseline="0"/>
              <a:t> </a:t>
            </a:r>
            <a:r>
              <a:rPr lang="en-US"/>
              <a:t>Sales Projection</a:t>
            </a:r>
          </a:p>
        </c:rich>
      </c:tx>
      <c:overlay val="0"/>
      <c:spPr>
        <a:noFill/>
        <a:ln>
          <a:noFill/>
        </a:ln>
        <a:effectLst/>
      </c:spPr>
      <c:txPr>
        <a:bodyPr rot="0" spcFirstLastPara="1" vertOverflow="ellipsis" vert="horz" wrap="square" anchor="ctr" anchorCtr="1"/>
        <a:lstStyle/>
        <a:p>
          <a:pPr>
            <a:defRPr sz="1400" b="0" i="0" u="none" strike="noStrike"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Sheet1!$A$1</c:f>
              <c:strCache>
                <c:ptCount val="1"/>
                <c:pt idx="0">
                  <c:v>Sales (Thousand Units)</c:v>
                </c:pt>
              </c:strCache>
            </c:strRef>
          </c:tx>
          <c:spPr>
            <a:solidFill>
              <a:schemeClr val="accent1"/>
            </a:solidFill>
            <a:ln>
              <a:noFill/>
            </a:ln>
            <a:effectLst/>
          </c:spPr>
          <c:invertIfNegative val="0"/>
          <c:cat>
            <c:numRef>
              <c:f>Sheet1!$B$2:$B$4</c:f>
              <c:numCache>
                <c:formatCode>General</c:formatCode>
                <c:ptCount val="3"/>
                <c:pt idx="0">
                  <c:v>2024</c:v>
                </c:pt>
                <c:pt idx="1">
                  <c:v>2025</c:v>
                </c:pt>
                <c:pt idx="2">
                  <c:v>2026</c:v>
                </c:pt>
              </c:numCache>
            </c:numRef>
          </c:cat>
          <c:val>
            <c:numRef>
              <c:f>Sheet1!$A$2:$A$4</c:f>
              <c:numCache>
                <c:formatCode>General</c:formatCode>
                <c:ptCount val="3"/>
                <c:pt idx="0">
                  <c:v>1.45</c:v>
                </c:pt>
                <c:pt idx="1">
                  <c:v>14.5</c:v>
                </c:pt>
                <c:pt idx="2">
                  <c:v>145</c:v>
                </c:pt>
              </c:numCache>
            </c:numRef>
          </c:val>
          <c:extLst>
            <c:ext xmlns:c16="http://schemas.microsoft.com/office/drawing/2014/chart" uri="{C3380CC4-5D6E-409C-BE32-E72D297353CC}">
              <c16:uniqueId val="{00000000-9164-D041-B1EE-9E43036DCEC9}"/>
            </c:ext>
          </c:extLst>
        </c:ser>
        <c:dLbls>
          <c:showLegendKey val="0"/>
          <c:showVal val="0"/>
          <c:showCatName val="0"/>
          <c:showSerName val="0"/>
          <c:showPercent val="0"/>
          <c:showBubbleSize val="0"/>
        </c:dLbls>
        <c:gapWidth val="0"/>
        <c:overlap val="100"/>
        <c:axId val="1050371232"/>
        <c:axId val="1050372960"/>
      </c:barChart>
      <c:catAx>
        <c:axId val="1050371232"/>
        <c:scaling>
          <c:orientation val="minMax"/>
        </c:scaling>
        <c:delete val="0"/>
        <c:axPos val="b"/>
        <c:title>
          <c:tx>
            <c:rich>
              <a:bodyPr rot="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n-US"/>
          </a:p>
        </c:txPr>
        <c:crossAx val="1050372960"/>
        <c:crosses val="autoZero"/>
        <c:auto val="1"/>
        <c:lblAlgn val="ctr"/>
        <c:lblOffset val="100"/>
        <c:noMultiLvlLbl val="0"/>
      </c:catAx>
      <c:valAx>
        <c:axId val="1050372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r>
                  <a:rPr lang="en-US"/>
                  <a:t>Sales</a:t>
                </a:r>
                <a:r>
                  <a:rPr lang="en-US" baseline="0"/>
                  <a:t> (Thousands of Units)</a:t>
                </a:r>
              </a:p>
            </c:rich>
          </c:tx>
          <c:overlay val="0"/>
          <c:spPr>
            <a:noFill/>
            <a:ln>
              <a:noFill/>
            </a:ln>
            <a:effectLst/>
          </c:spPr>
          <c:txPr>
            <a:bodyPr rot="-54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n-US"/>
          </a:p>
        </c:txPr>
        <c:crossAx val="10503712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4AA74-7C49-4584-AA56-0C6DCCB8D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Pages>
  <Words>932</Words>
  <Characters>4989</Characters>
  <Application>Microsoft Office Word</Application>
  <DocSecurity>0</DocSecurity>
  <Lines>128</Lines>
  <Paragraphs>69</Paragraphs>
  <ScaleCrop>false</ScaleCrop>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 Reese</dc:creator>
  <cp:keywords/>
  <cp:lastModifiedBy>Garrett Bradshaw</cp:lastModifiedBy>
  <cp:revision>209</cp:revision>
  <cp:lastPrinted>2014-09-23T23:58:00Z</cp:lastPrinted>
  <dcterms:created xsi:type="dcterms:W3CDTF">2021-08-15T19:32:00Z</dcterms:created>
  <dcterms:modified xsi:type="dcterms:W3CDTF">2023-10-11T21:05:00Z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b61abea3cde413a178cc2098b0050f877fadcde9df6dfb839fd48722eef6e95d</vt:lpwstr>
  </property>
</Properties>
</file>