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76"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EECS 289 2024 Spring</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76" w:lineRule="auto"/>
        <w:ind w:left="0" w:firstLine="0"/>
        <w:rPr>
          <w:rFonts w:ascii="Economica" w:cs="Economica" w:eastAsia="Economica" w:hAnsi="Economica"/>
          <w:b w:val="1"/>
          <w:sz w:val="32"/>
          <w:szCs w:val="32"/>
        </w:rPr>
      </w:pPr>
      <w:bookmarkStart w:colFirst="0" w:colLast="0" w:name="_mbjsiz6n6jlo" w:id="0"/>
      <w:bookmarkEnd w:id="0"/>
      <w:r w:rsidDel="00000000" w:rsidR="00000000" w:rsidRPr="00000000">
        <w:rPr>
          <w:b w:val="1"/>
          <w:sz w:val="32"/>
          <w:szCs w:val="32"/>
          <w:rtl w:val="0"/>
        </w:rPr>
        <w:t xml:space="preserve">BIOINSTRUMENTATION Lab 1</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vb8p0lepu9vn" w:id="1"/>
      <w:bookmarkEnd w:id="1"/>
      <w:r w:rsidDel="00000000" w:rsidR="00000000" w:rsidRPr="00000000">
        <w:rPr>
          <w:color w:val="000000"/>
          <w:rtl w:val="0"/>
        </w:rPr>
        <w:t xml:space="preserve">Nazmur Rafin, Yuhua Huang,  Ziwen Mao (Group10)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276" w:lineRule="auto"/>
        <w:rPr>
          <w:sz w:val="24"/>
          <w:szCs w:val="24"/>
        </w:rPr>
      </w:pPr>
      <w:r w:rsidDel="00000000" w:rsidR="00000000" w:rsidRPr="00000000">
        <w:rPr>
          <w:sz w:val="24"/>
          <w:szCs w:val="24"/>
        </w:rPr>
        <w:drawing>
          <wp:inline distB="114300" distT="114300" distL="114300" distR="114300">
            <wp:extent cx="2743200" cy="127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2743200" cy="1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76" w:lineRule="auto"/>
        <w:rPr>
          <w:sz w:val="24"/>
          <w:szCs w:val="24"/>
        </w:rPr>
      </w:pPr>
      <w:bookmarkStart w:colFirst="0" w:colLast="0" w:name="_arolcxe0i15c" w:id="2"/>
      <w:bookmarkEnd w:id="2"/>
      <w:r w:rsidDel="00000000" w:rsidR="00000000" w:rsidRPr="00000000">
        <w:rPr>
          <w:sz w:val="24"/>
          <w:szCs w:val="24"/>
          <w:rtl w:val="0"/>
        </w:rPr>
        <w:t xml:space="preserve">Introduction</w:t>
      </w:r>
    </w:p>
    <w:p w:rsidR="00000000" w:rsidDel="00000000" w:rsidP="00000000" w:rsidRDefault="00000000" w:rsidRPr="00000000" w14:paraId="00000006">
      <w:pPr>
        <w:spacing w:line="276" w:lineRule="auto"/>
        <w:ind w:firstLine="0"/>
        <w:rPr>
          <w:b w:val="1"/>
          <w:sz w:val="20"/>
          <w:szCs w:val="20"/>
        </w:rPr>
      </w:pPr>
      <w:r w:rsidDel="00000000" w:rsidR="00000000" w:rsidRPr="00000000">
        <w:rPr>
          <w:b w:val="1"/>
          <w:sz w:val="20"/>
          <w:szCs w:val="20"/>
          <w:rtl w:val="0"/>
        </w:rPr>
        <w:t xml:space="preserve">Iridium Oxide (IrOx) pH Electrodes for pH Measurement:</w:t>
      </w:r>
    </w:p>
    <w:p w:rsidR="00000000" w:rsidDel="00000000" w:rsidP="00000000" w:rsidRDefault="00000000" w:rsidRPr="00000000" w14:paraId="00000007">
      <w:pPr>
        <w:spacing w:line="276" w:lineRule="auto"/>
        <w:ind w:firstLine="0"/>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his experiment is designed to assess the effectiveness of IrOx electrodes in detecting slight pH variations, comparing their performance with standard reference electrodes.</w:t>
      </w:r>
    </w:p>
    <w:p w:rsidR="00000000" w:rsidDel="00000000" w:rsidP="00000000" w:rsidRDefault="00000000" w:rsidRPr="00000000" w14:paraId="00000008">
      <w:pPr>
        <w:spacing w:line="276" w:lineRule="auto"/>
        <w:ind w:firstLine="0"/>
        <w:rPr>
          <w:b w:val="1"/>
          <w:sz w:val="20"/>
          <w:szCs w:val="20"/>
        </w:rPr>
      </w:pPr>
      <w:r w:rsidDel="00000000" w:rsidR="00000000" w:rsidRPr="00000000">
        <w:rPr>
          <w:b w:val="1"/>
          <w:sz w:val="20"/>
          <w:szCs w:val="20"/>
          <w:rtl w:val="0"/>
        </w:rPr>
        <w:t xml:space="preserve">Neurotransmitter Sensors:</w:t>
      </w:r>
    </w:p>
    <w:p w:rsidR="00000000" w:rsidDel="00000000" w:rsidP="00000000" w:rsidRDefault="00000000" w:rsidRPr="00000000" w14:paraId="00000009">
      <w:pPr>
        <w:spacing w:line="276" w:lineRule="auto"/>
        <w:ind w:firstLine="0"/>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his experiment investigates the selectivity and sensitivity of neurotransmitter sensors, specifically targeting the detection of dopamine. The focus is on examining how well the sensor can distinguish dopamine from other substances and determine its lower detection limits.</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spacing w:line="276" w:lineRule="auto"/>
        <w:rPr>
          <w:sz w:val="24"/>
          <w:szCs w:val="24"/>
        </w:rPr>
      </w:pPr>
      <w:bookmarkStart w:colFirst="0" w:colLast="0" w:name="_la5jp5tnimjw" w:id="3"/>
      <w:bookmarkEnd w:id="3"/>
      <w:r w:rsidDel="00000000" w:rsidR="00000000" w:rsidRPr="00000000">
        <w:rPr>
          <w:sz w:val="24"/>
          <w:szCs w:val="24"/>
          <w:rtl w:val="0"/>
        </w:rPr>
        <w:t xml:space="preserve">Experiment Setup</w:t>
      </w:r>
      <w:r w:rsidDel="00000000" w:rsidR="00000000" w:rsidRPr="00000000">
        <w:rPr>
          <w:rtl w:val="0"/>
        </w:rPr>
      </w:r>
    </w:p>
    <w:p w:rsidR="00000000" w:rsidDel="00000000" w:rsidP="00000000" w:rsidRDefault="00000000" w:rsidRPr="00000000" w14:paraId="0000000B">
      <w:pPr>
        <w:spacing w:line="276" w:lineRule="auto"/>
        <w:rPr>
          <w:b w:val="1"/>
          <w:sz w:val="20"/>
          <w:szCs w:val="20"/>
        </w:rPr>
      </w:pPr>
      <w:r w:rsidDel="00000000" w:rsidR="00000000" w:rsidRPr="00000000">
        <w:rPr>
          <w:b w:val="1"/>
          <w:sz w:val="20"/>
          <w:szCs w:val="20"/>
          <w:rtl w:val="0"/>
        </w:rPr>
        <w:t xml:space="preserve">IrOx pH Electrodes for pH Measurement:</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experiment submerged IrOx electrodes, functioning as pseudo-reference electrodes, in solutions with pH values of 4, 7, and 10 sequentially. Measurements of the open circuit potential are taken for each pH value. Calibration is conducted at these points, and sensitivity is calculated based on the linear regression of potential changes obtained in response to the pH variations.</w:t>
      </w:r>
    </w:p>
    <w:p w:rsidR="00000000" w:rsidDel="00000000" w:rsidP="00000000" w:rsidRDefault="00000000" w:rsidRPr="00000000" w14:paraId="0000000D">
      <w:pPr>
        <w:spacing w:line="276" w:lineRule="auto"/>
        <w:rPr>
          <w:b w:val="1"/>
          <w:sz w:val="20"/>
          <w:szCs w:val="20"/>
        </w:rPr>
      </w:pPr>
      <w:r w:rsidDel="00000000" w:rsidR="00000000" w:rsidRPr="00000000">
        <w:rPr>
          <w:b w:val="1"/>
          <w:sz w:val="20"/>
          <w:szCs w:val="20"/>
          <w:rtl w:val="0"/>
        </w:rPr>
        <w:t xml:space="preserve">Neurotransmitter Sensors:</w:t>
      </w:r>
    </w:p>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neurotransmitter sensor measures the initial baseline with a clean solution, followed by the incremental addition of 50 mol dopamine solutions at 3 intervals. The response of the sensor is monitored to evaluate both the selectivity against other substances like ascorbic acid and the precision in measuring dopamine concentrations. This can be used to calculate the sensor's sensitivity based on linear regression of the current obtained and establish its limit of detection (LOD) with the equation.</w:t>
      </w:r>
    </w:p>
    <w:p w:rsidR="00000000" w:rsidDel="00000000" w:rsidP="00000000" w:rsidRDefault="00000000" w:rsidRPr="00000000" w14:paraId="0000000F">
      <w:pPr>
        <w:pStyle w:val="Heading2"/>
        <w:spacing w:line="276" w:lineRule="auto"/>
        <w:rPr>
          <w:sz w:val="24"/>
          <w:szCs w:val="24"/>
        </w:rPr>
      </w:pPr>
      <w:bookmarkStart w:colFirst="0" w:colLast="0" w:name="_qkvdu6th3ui9" w:id="4"/>
      <w:bookmarkEnd w:id="4"/>
      <w:r w:rsidDel="00000000" w:rsidR="00000000" w:rsidRPr="00000000">
        <w:rPr>
          <w:sz w:val="24"/>
          <w:szCs w:val="24"/>
          <w:rtl w:val="0"/>
        </w:rPr>
        <w:t xml:space="preserve">Experiment Result</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m8iimuc11ozk" w:id="5"/>
      <w:bookmarkEnd w:id="5"/>
      <w:r w:rsidDel="00000000" w:rsidR="00000000" w:rsidRPr="00000000">
        <w:rPr/>
        <w:drawing>
          <wp:inline distB="114300" distT="114300" distL="114300" distR="114300">
            <wp:extent cx="3424238" cy="1504187"/>
            <wp:effectExtent b="0" l="0" r="0" t="0"/>
            <wp:docPr id="5" name="image5.png"/>
            <a:graphic>
              <a:graphicData uri="http://schemas.openxmlformats.org/drawingml/2006/picture">
                <pic:pic>
                  <pic:nvPicPr>
                    <pic:cNvPr id="0" name="image5.png"/>
                    <pic:cNvPicPr preferRelativeResize="0"/>
                  </pic:nvPicPr>
                  <pic:blipFill>
                    <a:blip r:embed="rId7"/>
                    <a:srcRect b="0" l="7627" r="7062" t="5437"/>
                    <a:stretch>
                      <a:fillRect/>
                    </a:stretch>
                  </pic:blipFill>
                  <pic:spPr>
                    <a:xfrm>
                      <a:off x="0" y="0"/>
                      <a:ext cx="3424238" cy="15041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H</w:t>
      </w:r>
      <w:r w:rsidDel="00000000" w:rsidR="00000000" w:rsidRPr="00000000">
        <w:rPr>
          <w:sz w:val="20"/>
          <w:szCs w:val="20"/>
          <w:rtl w:val="0"/>
        </w:rPr>
        <w:t xml:space="preserve">ere we used data from group 1, selected an effective range of  (30, 80) (150, 200) (240, 290) to plot the sensitivity slope.</w:t>
      </w:r>
    </w:p>
    <w:p w:rsidR="00000000" w:rsidDel="00000000" w:rsidP="00000000" w:rsidRDefault="00000000" w:rsidRPr="00000000" w14:paraId="00000012">
      <w:pPr>
        <w:spacing w:line="276" w:lineRule="auto"/>
        <w:rPr>
          <w:sz w:val="20"/>
          <w:szCs w:val="20"/>
        </w:rPr>
      </w:pPr>
      <m:oMath>
        <m:r>
          <w:rPr>
            <w:sz w:val="20"/>
            <w:szCs w:val="20"/>
          </w:rPr>
          <m:t xml:space="preserve">Sensitivity = -2.71 mV/pH</m:t>
        </m:r>
      </m:oMath>
      <w:r w:rsidDel="00000000" w:rsidR="00000000" w:rsidRPr="00000000">
        <w:rPr>
          <w:rtl w:val="0"/>
        </w:rPr>
      </w:r>
    </w:p>
    <w:p w:rsidR="00000000" w:rsidDel="00000000" w:rsidP="00000000" w:rsidRDefault="00000000" w:rsidRPr="00000000" w14:paraId="00000013">
      <w:pPr>
        <w:spacing w:line="276" w:lineRule="auto"/>
        <w:rPr>
          <w:sz w:val="20"/>
          <w:szCs w:val="20"/>
        </w:rPr>
      </w:pPr>
      <w:r w:rsidDel="00000000" w:rsidR="00000000" w:rsidRPr="00000000">
        <w:rPr>
          <w:sz w:val="20"/>
          <w:szCs w:val="20"/>
        </w:rPr>
        <w:drawing>
          <wp:inline distB="114300" distT="114300" distL="114300" distR="114300">
            <wp:extent cx="3338513" cy="1441850"/>
            <wp:effectExtent b="0" l="0" r="0" t="0"/>
            <wp:docPr id="6" name="image6.png"/>
            <a:graphic>
              <a:graphicData uri="http://schemas.openxmlformats.org/drawingml/2006/picture">
                <pic:pic>
                  <pic:nvPicPr>
                    <pic:cNvPr id="0" name="image6.png"/>
                    <pic:cNvPicPr preferRelativeResize="0"/>
                  </pic:nvPicPr>
                  <pic:blipFill>
                    <a:blip r:embed="rId8"/>
                    <a:srcRect b="3990" l="8035" r="9226" t="5721"/>
                    <a:stretch>
                      <a:fillRect/>
                    </a:stretch>
                  </pic:blipFill>
                  <pic:spPr>
                    <a:xfrm>
                      <a:off x="0" y="0"/>
                      <a:ext cx="3338513" cy="14418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H</w:t>
      </w:r>
      <w:r w:rsidDel="00000000" w:rsidR="00000000" w:rsidRPr="00000000">
        <w:rPr>
          <w:sz w:val="20"/>
          <w:szCs w:val="20"/>
          <w:rtl w:val="0"/>
        </w:rPr>
        <w:t xml:space="preserve">ere we selected effective range of (0, 50) (70, 100) (120, 150) (180, 210)</w:t>
      </w:r>
    </w:p>
    <w:p w:rsidR="00000000" w:rsidDel="00000000" w:rsidP="00000000" w:rsidRDefault="00000000" w:rsidRPr="00000000" w14:paraId="00000015">
      <w:pPr>
        <w:spacing w:line="276" w:lineRule="auto"/>
        <w:rPr>
          <w:sz w:val="20"/>
          <w:szCs w:val="20"/>
        </w:rPr>
      </w:pPr>
      <m:oMath>
        <m:r>
          <w:rPr>
            <w:sz w:val="20"/>
            <w:szCs w:val="20"/>
          </w:rPr>
          <m:t xml:space="preserve">LOD =</m:t>
        </m:r>
        <m:f>
          <m:fPr>
            <m:ctrlPr>
              <w:rPr>
                <w:sz w:val="20"/>
                <w:szCs w:val="20"/>
              </w:rPr>
            </m:ctrlPr>
          </m:fPr>
          <m:num>
            <m:r>
              <w:rPr>
                <w:sz w:val="20"/>
                <w:szCs w:val="20"/>
              </w:rPr>
              <m:t xml:space="preserve">(3</m:t>
            </m:r>
            <m:r>
              <w:rPr>
                <w:sz w:val="20"/>
                <w:szCs w:val="20"/>
              </w:rPr>
              <m:t>×</m:t>
            </m:r>
            <m:r>
              <w:rPr>
                <w:sz w:val="20"/>
                <w:szCs w:val="20"/>
              </w:rPr>
              <m:t xml:space="preserve"> standard deviation of the baseline)</m:t>
            </m:r>
          </m:num>
          <m:den>
            <m:r>
              <w:rPr>
                <w:sz w:val="20"/>
                <w:szCs w:val="20"/>
              </w:rPr>
              <m:t xml:space="preserve">least squares slope</m:t>
            </m:r>
          </m:den>
        </m:f>
        <m:r>
          <w:rPr>
            <w:sz w:val="20"/>
            <w:szCs w:val="20"/>
          </w:rPr>
          <m:t xml:space="preserve">=</m:t>
        </m:r>
        <m:f>
          <m:fPr>
            <m:ctrlPr>
              <w:rPr>
                <w:sz w:val="20"/>
                <w:szCs w:val="20"/>
              </w:rPr>
            </m:ctrlPr>
          </m:fPr>
          <m:num>
            <m:r>
              <w:rPr>
                <w:sz w:val="20"/>
                <w:szCs w:val="20"/>
              </w:rPr>
              <m:t xml:space="preserve">3</m:t>
            </m:r>
            <m:r>
              <w:rPr>
                <w:sz w:val="20"/>
                <w:szCs w:val="20"/>
              </w:rPr>
              <m:t>×</m:t>
            </m:r>
            <m:r>
              <w:rPr>
                <w:sz w:val="20"/>
                <w:szCs w:val="20"/>
              </w:rPr>
              <m:t xml:space="preserve">0.0197</m:t>
            </m:r>
          </m:num>
          <m:den>
            <m:r>
              <w:rPr>
                <w:sz w:val="20"/>
                <w:szCs w:val="20"/>
              </w:rPr>
              <m:t xml:space="preserve">0.0116</m:t>
            </m:r>
          </m:den>
        </m:f>
        <m:r>
          <w:rPr>
            <w:sz w:val="20"/>
            <w:szCs w:val="20"/>
          </w:rPr>
          <m:t xml:space="preserve">=5.08 </m:t>
        </m:r>
        <m:r>
          <w:rPr>
            <w:sz w:val="20"/>
            <w:szCs w:val="20"/>
          </w:rPr>
          <m:t>μ</m:t>
        </m:r>
        <m:r>
          <w:rPr>
            <w:sz w:val="20"/>
            <w:szCs w:val="20"/>
          </w:rPr>
          <m:t xml:space="preserve">M </m:t>
        </m:r>
      </m:oMath>
      <w:r w:rsidDel="00000000" w:rsidR="00000000" w:rsidRPr="00000000">
        <w:rPr>
          <w:rtl w:val="0"/>
        </w:rPr>
      </w:r>
    </w:p>
    <w:p w:rsidR="00000000" w:rsidDel="00000000" w:rsidP="00000000" w:rsidRDefault="00000000" w:rsidRPr="00000000" w14:paraId="00000016">
      <w:pPr>
        <w:spacing w:line="276" w:lineRule="auto"/>
        <w:rPr/>
      </w:pPr>
      <m:oMath>
        <m:r>
          <w:rPr/>
          <m:t xml:space="preserve">Sensitivity = 13.46</m:t>
        </m:r>
        <m:r>
          <w:rPr/>
          <m:t>×</m:t>
        </m:r>
        <m:sSup>
          <m:sSupPr>
            <m:ctrlPr>
              <w:rPr/>
            </m:ctrlPr>
          </m:sSupPr>
          <m:e>
            <m:r>
              <w:rPr/>
              <m:t xml:space="preserve">10</m:t>
            </m:r>
          </m:e>
          <m:sup>
            <m:r>
              <w:rPr/>
              <m:t xml:space="preserve">-3</m:t>
            </m:r>
          </m:sup>
        </m:sSup>
        <m:r>
          <w:rPr/>
          <m:t xml:space="preserve">nA/s</m:t>
        </m:r>
      </m:oMath>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