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DEB9D" w14:textId="77777777" w:rsidR="00104D6B" w:rsidRPr="00104D6B" w:rsidRDefault="0042527F" w:rsidP="004355EF">
      <w:pPr>
        <w:pStyle w:val="Title"/>
        <w:jc w:val="center"/>
      </w:pPr>
      <w:bookmarkStart w:id="0" w:name="_GoBack"/>
      <w:r>
        <w:t xml:space="preserve">Router and Switch </w:t>
      </w:r>
      <w:r w:rsidR="00A047BB">
        <w:t>Security Policy</w:t>
      </w:r>
    </w:p>
    <w:bookmarkEnd w:id="0"/>
    <w:p w14:paraId="3B949325" w14:textId="77777777" w:rsidR="008228E7" w:rsidRDefault="00C72E22" w:rsidP="008228E7">
      <w:pPr>
        <w:pStyle w:val="Heading1"/>
        <w:numPr>
          <w:ilvl w:val="0"/>
          <w:numId w:val="1"/>
        </w:numPr>
        <w:spacing w:before="0"/>
      </w:pPr>
      <w:r>
        <w:t>Overview</w:t>
      </w:r>
    </w:p>
    <w:p w14:paraId="4DDDB341" w14:textId="77777777" w:rsidR="003B6BD8" w:rsidRPr="003B6BD8" w:rsidRDefault="00797993" w:rsidP="003B6BD8">
      <w:r>
        <w:t xml:space="preserve">See Purpose. </w:t>
      </w:r>
    </w:p>
    <w:p w14:paraId="4D32A306" w14:textId="77777777" w:rsidR="00C72E22" w:rsidRDefault="00C72E22" w:rsidP="00A84AF0">
      <w:pPr>
        <w:pStyle w:val="Heading1"/>
        <w:numPr>
          <w:ilvl w:val="0"/>
          <w:numId w:val="1"/>
        </w:numPr>
        <w:spacing w:before="0"/>
      </w:pPr>
      <w:r>
        <w:t>Purpose</w:t>
      </w:r>
    </w:p>
    <w:p w14:paraId="2AA4F1ED" w14:textId="77777777" w:rsidR="0042527F" w:rsidRDefault="0042527F" w:rsidP="0042527F">
      <w:pPr>
        <w:pStyle w:val="PlainText"/>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This document describes a required minimal security configuration for all routers and switches connecting to a production network or used in a production capacity at or on behalf of </w:t>
      </w:r>
      <w:r w:rsidR="009C34E9">
        <w:rPr>
          <w:rFonts w:ascii="Times New Roman" w:eastAsia="MS Mincho" w:hAnsi="Times New Roman" w:cs="Times New Roman"/>
          <w:sz w:val="24"/>
          <w:szCs w:val="24"/>
        </w:rPr>
        <w:t>ScaleArc</w:t>
      </w:r>
      <w:r w:rsidRPr="0042527F">
        <w:rPr>
          <w:rFonts w:ascii="Times New Roman" w:eastAsia="MS Mincho" w:hAnsi="Times New Roman" w:cs="Times New Roman"/>
          <w:sz w:val="24"/>
          <w:szCs w:val="24"/>
        </w:rPr>
        <w:t>.</w:t>
      </w:r>
    </w:p>
    <w:p w14:paraId="14E1D549" w14:textId="77777777" w:rsidR="0042527F" w:rsidRPr="0042527F" w:rsidRDefault="0042527F" w:rsidP="0042527F">
      <w:pPr>
        <w:pStyle w:val="PlainText"/>
        <w:rPr>
          <w:rFonts w:ascii="Times New Roman" w:eastAsia="MS Mincho" w:hAnsi="Times New Roman" w:cs="Times New Roman"/>
          <w:sz w:val="24"/>
          <w:szCs w:val="24"/>
        </w:rPr>
      </w:pPr>
    </w:p>
    <w:p w14:paraId="36C0103C" w14:textId="77777777" w:rsidR="00C72E22" w:rsidRDefault="00C72E22" w:rsidP="00A84AF0">
      <w:pPr>
        <w:pStyle w:val="Heading1"/>
        <w:numPr>
          <w:ilvl w:val="0"/>
          <w:numId w:val="1"/>
        </w:numPr>
        <w:spacing w:before="0"/>
      </w:pPr>
      <w:r>
        <w:t>Scope</w:t>
      </w:r>
    </w:p>
    <w:p w14:paraId="013BA8EA" w14:textId="77777777" w:rsidR="0042527F" w:rsidRPr="0042527F" w:rsidRDefault="0042527F" w:rsidP="0042527F">
      <w:r>
        <w:t xml:space="preserve">All </w:t>
      </w:r>
      <w:r w:rsidRPr="00C41C38">
        <w:t xml:space="preserve">employees, contractors, consultants, temporary and other workers at </w:t>
      </w:r>
      <w:proofErr w:type="spellStart"/>
      <w:r w:rsidR="009C34E9" w:rsidRPr="009022E5">
        <w:rPr>
          <w:rFonts w:eastAsia="MS Mincho"/>
          <w:szCs w:val="24"/>
        </w:rPr>
        <w:t>ScalArc</w:t>
      </w:r>
      <w:proofErr w:type="spellEnd"/>
      <w:r w:rsidR="009C34E9" w:rsidRPr="009022E5">
        <w:rPr>
          <w:rFonts w:eastAsia="MS Mincho"/>
          <w:szCs w:val="24"/>
        </w:rPr>
        <w:t>, Inc. (“ScaleArc”</w:t>
      </w:r>
      <w:r w:rsidR="009C34E9">
        <w:rPr>
          <w:rFonts w:eastAsia="MS Mincho"/>
          <w:szCs w:val="24"/>
        </w:rPr>
        <w:t xml:space="preserve"> </w:t>
      </w:r>
      <w:r w:rsidR="009C34E9" w:rsidRPr="009022E5">
        <w:rPr>
          <w:rFonts w:eastAsia="MS Mincho"/>
          <w:szCs w:val="24"/>
        </w:rPr>
        <w:t>or the “Company”)</w:t>
      </w:r>
      <w:r w:rsidR="009C34E9">
        <w:rPr>
          <w:rFonts w:eastAsia="MS Mincho"/>
          <w:szCs w:val="24"/>
        </w:rPr>
        <w:t xml:space="preserve"> </w:t>
      </w:r>
      <w:r>
        <w:t>and its subsidiaries must adhere to this policy</w:t>
      </w:r>
      <w:r w:rsidRPr="00C41C38">
        <w:t xml:space="preserve">. </w:t>
      </w:r>
      <w:r>
        <w:t xml:space="preserve">All routers and switches connected to </w:t>
      </w:r>
      <w:r w:rsidR="009C34E9">
        <w:t>ScaleArc</w:t>
      </w:r>
      <w:r>
        <w:t xml:space="preserve"> production networks are affected.</w:t>
      </w:r>
    </w:p>
    <w:p w14:paraId="68CBC7B0" w14:textId="77777777" w:rsidR="0042527F" w:rsidRDefault="00C72E22" w:rsidP="0042527F">
      <w:pPr>
        <w:pStyle w:val="Heading1"/>
        <w:numPr>
          <w:ilvl w:val="0"/>
          <w:numId w:val="1"/>
        </w:numPr>
        <w:spacing w:before="0"/>
      </w:pPr>
      <w:r>
        <w:t>Policy</w:t>
      </w:r>
    </w:p>
    <w:p w14:paraId="6CB88AFF" w14:textId="77777777" w:rsidR="0042527F" w:rsidRPr="0042527F" w:rsidRDefault="0042527F" w:rsidP="00C841D9">
      <w:pPr>
        <w:pStyle w:val="PlainText"/>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Every router must meet the following configuration standards:</w:t>
      </w:r>
    </w:p>
    <w:p w14:paraId="7EB938B1" w14:textId="77777777" w:rsidR="0042527F" w:rsidRPr="0042527F" w:rsidRDefault="0042527F" w:rsidP="00C841D9">
      <w:pPr>
        <w:pStyle w:val="PlainText"/>
        <w:spacing w:line="276" w:lineRule="auto"/>
        <w:rPr>
          <w:rFonts w:ascii="Times New Roman" w:eastAsia="MS Mincho" w:hAnsi="Times New Roman" w:cs="Times New Roman"/>
          <w:sz w:val="24"/>
          <w:szCs w:val="24"/>
        </w:rPr>
      </w:pPr>
    </w:p>
    <w:p w14:paraId="22C0D969" w14:textId="77777777" w:rsid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No local user accounts are configured on the router. Routers </w:t>
      </w:r>
      <w:r>
        <w:rPr>
          <w:rFonts w:ascii="Times New Roman" w:eastAsia="MS Mincho" w:hAnsi="Times New Roman" w:cs="Times New Roman"/>
          <w:sz w:val="24"/>
          <w:szCs w:val="24"/>
        </w:rPr>
        <w:t xml:space="preserve">and switches </w:t>
      </w:r>
      <w:r w:rsidRPr="0042527F">
        <w:rPr>
          <w:rFonts w:ascii="Times New Roman" w:eastAsia="MS Mincho" w:hAnsi="Times New Roman" w:cs="Times New Roman"/>
          <w:sz w:val="24"/>
          <w:szCs w:val="24"/>
        </w:rPr>
        <w:t>must use TACAC</w:t>
      </w:r>
      <w:r>
        <w:rPr>
          <w:rFonts w:ascii="Times New Roman" w:eastAsia="MS Mincho" w:hAnsi="Times New Roman" w:cs="Times New Roman"/>
          <w:sz w:val="24"/>
          <w:szCs w:val="24"/>
        </w:rPr>
        <w:t>S+ for all user authentication.</w:t>
      </w:r>
    </w:p>
    <w:p w14:paraId="5B615567"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The enable password on the router or switch must be kept in a secure encrypted form. The router or switch must have the enable password set to the current production router/switch password from the device’s support organization.</w:t>
      </w:r>
    </w:p>
    <w:p w14:paraId="40163C77"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following services or features must be disabled: </w:t>
      </w:r>
    </w:p>
    <w:p w14:paraId="301A7839"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IP directed broadcasts </w:t>
      </w:r>
    </w:p>
    <w:p w14:paraId="0282F821"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Incoming packets at the router/switch sourced with invalid addresses such as RFC1918 addresses</w:t>
      </w:r>
    </w:p>
    <w:p w14:paraId="7575C029"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TCP small services </w:t>
      </w:r>
    </w:p>
    <w:p w14:paraId="4159CB40"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UDP small services </w:t>
      </w:r>
    </w:p>
    <w:p w14:paraId="2CD72573"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source r</w:t>
      </w:r>
      <w:r>
        <w:rPr>
          <w:rFonts w:ascii="Times New Roman" w:eastAsia="MS Mincho" w:hAnsi="Times New Roman" w:cs="Times New Roman"/>
          <w:sz w:val="24"/>
          <w:szCs w:val="24"/>
        </w:rPr>
        <w:t>outing and switching</w:t>
      </w:r>
    </w:p>
    <w:p w14:paraId="54C48664"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web services running on router</w:t>
      </w:r>
    </w:p>
    <w:p w14:paraId="12648D76" w14:textId="77777777" w:rsidR="00C951A2" w:rsidRPr="00C951A2" w:rsidRDefault="00797993"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Cisco discovery protocol </w:t>
      </w:r>
      <w:r w:rsidR="00C951A2" w:rsidRPr="00C951A2">
        <w:rPr>
          <w:rFonts w:ascii="Times New Roman" w:hAnsi="Times New Roman" w:cs="Times New Roman"/>
          <w:sz w:val="24"/>
          <w:szCs w:val="24"/>
        </w:rPr>
        <w:t>on Internet connected interfaces</w:t>
      </w:r>
    </w:p>
    <w:p w14:paraId="3693A742" w14:textId="77777777" w:rsidR="00C951A2" w:rsidRPr="00C951A2" w:rsidRDefault="00C951A2" w:rsidP="00C841D9">
      <w:pPr>
        <w:pStyle w:val="PlainText"/>
        <w:numPr>
          <w:ilvl w:val="1"/>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Telnet, FTP, and HTTP services</w:t>
      </w:r>
    </w:p>
    <w:p w14:paraId="59845C14"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Auto-configuration</w:t>
      </w:r>
    </w:p>
    <w:p w14:paraId="45CD4195"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should be disabled unless a</w:t>
      </w:r>
      <w:r>
        <w:rPr>
          <w:rFonts w:ascii="Times New Roman" w:eastAsia="MS Mincho" w:hAnsi="Times New Roman" w:cs="Times New Roman"/>
          <w:sz w:val="24"/>
          <w:szCs w:val="24"/>
        </w:rPr>
        <w:t xml:space="preserve"> business justification</w:t>
      </w:r>
      <w:r w:rsidRPr="0042527F">
        <w:rPr>
          <w:rFonts w:ascii="Times New Roman" w:eastAsia="MS Mincho" w:hAnsi="Times New Roman" w:cs="Times New Roman"/>
          <w:sz w:val="24"/>
          <w:szCs w:val="24"/>
        </w:rPr>
        <w:t xml:space="preserve"> is provided:</w:t>
      </w:r>
    </w:p>
    <w:p w14:paraId="6E59D48E"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Cisco discovery protocol and other discovery protocols</w:t>
      </w:r>
    </w:p>
    <w:p w14:paraId="073C4D37"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trunking</w:t>
      </w:r>
    </w:p>
    <w:p w14:paraId="2F6AF3C0"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Scripting environments, such as the TCL shell</w:t>
      </w:r>
    </w:p>
    <w:p w14:paraId="3515CC24"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must be configured:</w:t>
      </w:r>
    </w:p>
    <w:p w14:paraId="20454E2E"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Password-encryption</w:t>
      </w:r>
    </w:p>
    <w:p w14:paraId="1DD51108"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NTP configured to a corporate standard source</w:t>
      </w:r>
      <w:r w:rsidR="009C34E9">
        <w:rPr>
          <w:rFonts w:ascii="Times New Roman" w:eastAsia="MS Mincho" w:hAnsi="Times New Roman" w:cs="Times New Roman"/>
          <w:sz w:val="24"/>
          <w:szCs w:val="24"/>
        </w:rPr>
        <w:t xml:space="preserve"> (pool.ntp.org)</w:t>
      </w:r>
    </w:p>
    <w:p w14:paraId="11FB1CFA" w14:textId="77777777" w:rsidR="00C951A2" w:rsidRPr="00C951A2" w:rsidRDefault="00C951A2" w:rsidP="00C841D9">
      <w:pPr>
        <w:pStyle w:val="PlainText"/>
        <w:numPr>
          <w:ilvl w:val="0"/>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lastRenderedPageBreak/>
        <w:t>All routing updates shall be done using secure routing updates.</w:t>
      </w:r>
    </w:p>
    <w:p w14:paraId="699357B8"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Use corporate standardized SNMP community strings.  Default strings, such as public or private must be removed.  SNMP must be configured to use the most secure version of the protocol allowed for by the combination of the device and management systems.</w:t>
      </w:r>
    </w:p>
    <w:p w14:paraId="549910D3"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Access control lists must be used to limit the source and type of traffic that can terminate on the device itself.</w:t>
      </w:r>
    </w:p>
    <w:p w14:paraId="0F274679"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Access control lists for transiting the device are to be added as business needs arise. </w:t>
      </w:r>
    </w:p>
    <w:p w14:paraId="70C73EEF" w14:textId="77777777" w:rsidR="00C841D9"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router must be included in the corporate enterprise management system with a designated point of contact. </w:t>
      </w:r>
    </w:p>
    <w:p w14:paraId="26C652C2"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Each router must have the following statement presented for all forms of login whether remote or local: </w:t>
      </w:r>
    </w:p>
    <w:p w14:paraId="2161A0BD" w14:textId="77777777" w:rsidR="0042527F" w:rsidRPr="0042527F" w:rsidRDefault="0042527F" w:rsidP="00C841D9">
      <w:pPr>
        <w:pStyle w:val="PlainText"/>
        <w:spacing w:line="276" w:lineRule="auto"/>
        <w:ind w:left="360"/>
        <w:rPr>
          <w:rFonts w:ascii="Times New Roman" w:eastAsia="MS Mincho" w:hAnsi="Times New Roman" w:cs="Times New Roman"/>
          <w:sz w:val="24"/>
          <w:szCs w:val="24"/>
        </w:rPr>
      </w:pPr>
    </w:p>
    <w:p w14:paraId="39603858" w14:textId="77777777" w:rsidR="0042527F" w:rsidRPr="00C841D9" w:rsidRDefault="0042527F" w:rsidP="00C841D9">
      <w:pPr>
        <w:pStyle w:val="PlainText"/>
        <w:spacing w:line="276" w:lineRule="auto"/>
        <w:ind w:left="720"/>
        <w:rPr>
          <w:rFonts w:ascii="Times New Roman" w:eastAsia="MS Mincho" w:hAnsi="Times New Roman" w:cs="Times New Roman"/>
          <w:i/>
          <w:sz w:val="24"/>
          <w:szCs w:val="24"/>
        </w:rPr>
      </w:pPr>
      <w:r w:rsidRPr="00C841D9">
        <w:rPr>
          <w:rFonts w:ascii="Times New Roman" w:eastAsia="MS Mincho" w:hAnsi="Times New Roman" w:cs="Times New Roman"/>
          <w:i/>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action, and may be reported to law enforcement. There is no right to privacy on this device. Use of this system shall constitute consent to monitoring." </w:t>
      </w:r>
    </w:p>
    <w:p w14:paraId="3B5E5EF6" w14:textId="77777777" w:rsidR="0042527F" w:rsidRPr="0042527F" w:rsidRDefault="0042527F" w:rsidP="00C841D9">
      <w:pPr>
        <w:pStyle w:val="PlainText"/>
        <w:spacing w:line="276" w:lineRule="auto"/>
        <w:ind w:left="720"/>
        <w:rPr>
          <w:rFonts w:ascii="Times New Roman" w:eastAsia="MS Mincho" w:hAnsi="Times New Roman" w:cs="Times New Roman"/>
          <w:sz w:val="24"/>
          <w:szCs w:val="24"/>
        </w:rPr>
      </w:pPr>
    </w:p>
    <w:p w14:paraId="2E6DD8C9"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Telnet may never be used across any network to manage a router, unless there is a secure tunnel protecting the entire communication path. SSH version 2 is the preferred management protocol.</w:t>
      </w:r>
    </w:p>
    <w:p w14:paraId="4722738E"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routing protocols must use authentication in routing updates sent to neighbors.  Password hashing for the authentication string must be enabled when supported.</w:t>
      </w:r>
    </w:p>
    <w:p w14:paraId="0FB7F4F1"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corporate router configuration standard will define the category of sensitive routing and switching devices, and require additional services or configuration on sensitive devices including:</w:t>
      </w:r>
    </w:p>
    <w:p w14:paraId="1F3C79AD"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IP access list accounting</w:t>
      </w:r>
    </w:p>
    <w:p w14:paraId="6E149732"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Device logging</w:t>
      </w:r>
    </w:p>
    <w:p w14:paraId="26F93F98"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Incoming packets at the router sourced with invalid addresses, such as RFC1918 addresses, or those that could be used to spoof network traffic shall be dropped</w:t>
      </w:r>
    </w:p>
    <w:p w14:paraId="43096962"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Router console and modem access must be restricted by additional security controls</w:t>
      </w:r>
    </w:p>
    <w:p w14:paraId="5B1CB329" w14:textId="77777777" w:rsidR="00797993" w:rsidRPr="0042527F" w:rsidRDefault="00797993" w:rsidP="00797993">
      <w:pPr>
        <w:pStyle w:val="PlainText"/>
        <w:spacing w:line="276" w:lineRule="auto"/>
        <w:ind w:left="1440"/>
        <w:rPr>
          <w:rFonts w:ascii="Times New Roman" w:eastAsia="MS Mincho" w:hAnsi="Times New Roman" w:cs="Times New Roman"/>
          <w:sz w:val="24"/>
          <w:szCs w:val="24"/>
        </w:rPr>
      </w:pPr>
    </w:p>
    <w:p w14:paraId="77120E92" w14:textId="77777777" w:rsidR="00C72E22" w:rsidRDefault="009C2FC8" w:rsidP="00A84AF0">
      <w:pPr>
        <w:pStyle w:val="Heading1"/>
        <w:numPr>
          <w:ilvl w:val="0"/>
          <w:numId w:val="1"/>
        </w:numPr>
        <w:spacing w:before="0"/>
      </w:pPr>
      <w:r>
        <w:t>Policy Compliance</w:t>
      </w:r>
    </w:p>
    <w:p w14:paraId="0AC5FFB6"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8EFA89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9C34E9">
        <w:rPr>
          <w:rFonts w:cs="Times New Roman"/>
          <w:szCs w:val="24"/>
        </w:rPr>
        <w:t>Operations</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D233033"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59FCE6B9"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9C34E9">
        <w:rPr>
          <w:rFonts w:cs="Times New Roman"/>
          <w:szCs w:val="24"/>
        </w:rPr>
        <w:t>Operations</w:t>
      </w:r>
      <w:r w:rsidRPr="00F72060">
        <w:rPr>
          <w:rFonts w:cs="Times New Roman"/>
          <w:szCs w:val="24"/>
        </w:rPr>
        <w:t xml:space="preserve"> team in advance. </w:t>
      </w:r>
    </w:p>
    <w:p w14:paraId="562C2B03"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77AE9D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1695EC1" w14:textId="77777777" w:rsidR="00A84AF0" w:rsidRDefault="009C2FC8" w:rsidP="00C841D9">
      <w:pPr>
        <w:pStyle w:val="Heading1"/>
        <w:numPr>
          <w:ilvl w:val="0"/>
          <w:numId w:val="4"/>
        </w:numPr>
        <w:spacing w:before="0"/>
      </w:pPr>
      <w:r>
        <w:t>Related Standards, Policies and Processes</w:t>
      </w:r>
    </w:p>
    <w:p w14:paraId="0264EBF5" w14:textId="77777777" w:rsidR="00836569" w:rsidRDefault="00797993" w:rsidP="00836569">
      <w:pPr>
        <w:spacing w:after="0"/>
      </w:pPr>
      <w:r>
        <w:t xml:space="preserve">None. </w:t>
      </w:r>
    </w:p>
    <w:p w14:paraId="74BCC14F" w14:textId="77777777" w:rsidR="00797993" w:rsidRPr="00836569" w:rsidRDefault="00797993" w:rsidP="00836569">
      <w:pPr>
        <w:spacing w:after="0"/>
      </w:pPr>
    </w:p>
    <w:p w14:paraId="0850F375" w14:textId="77777777" w:rsidR="009C2FC8" w:rsidRDefault="009C2FC8" w:rsidP="00B96A66">
      <w:pPr>
        <w:pStyle w:val="Heading1"/>
        <w:numPr>
          <w:ilvl w:val="0"/>
          <w:numId w:val="4"/>
        </w:numPr>
        <w:spacing w:before="0"/>
      </w:pPr>
      <w:r>
        <w:t>Definitions and Terms</w:t>
      </w:r>
    </w:p>
    <w:p w14:paraId="24988E5F" w14:textId="77777777" w:rsidR="00C841D9" w:rsidRPr="00C841D9" w:rsidRDefault="00797993" w:rsidP="00C841D9">
      <w:r>
        <w:rPr>
          <w:rFonts w:eastAsia="MS Mincho" w:cs="Times New Roman"/>
          <w:szCs w:val="24"/>
        </w:rPr>
        <w:t>None.</w:t>
      </w:r>
    </w:p>
    <w:p w14:paraId="0B9A9534"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D0F452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45A9254"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1AC815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1EA1AB4"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32C236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DDCDA3C" w14:textId="77777777" w:rsidR="00FD3519" w:rsidRPr="00B96A66" w:rsidRDefault="009C34E9"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 xml:space="preserve">December </w:t>
            </w:r>
            <w:r w:rsidR="006637AF">
              <w:rPr>
                <w:rFonts w:ascii="Times New Roman" w:hAnsi="Times New Roman" w:cs="Times New Roman"/>
                <w:color w:val="auto"/>
                <w:sz w:val="24"/>
                <w:szCs w:val="24"/>
              </w:rPr>
              <w:t>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2CAD0D6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5E73D6D"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049F0E4"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F566DED"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1C3D239"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064A63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FAB0AEE"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CF241" w14:textId="77777777" w:rsidR="001950DE" w:rsidRDefault="001950DE" w:rsidP="0066487F">
      <w:pPr>
        <w:spacing w:after="0" w:line="240" w:lineRule="auto"/>
      </w:pPr>
      <w:r>
        <w:separator/>
      </w:r>
    </w:p>
  </w:endnote>
  <w:endnote w:type="continuationSeparator" w:id="0">
    <w:p w14:paraId="395F50F5" w14:textId="77777777" w:rsidR="001950DE" w:rsidRDefault="001950D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1DBAC"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6637A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355EF" w:rsidRPr="004355E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2B50C" w14:textId="77777777" w:rsidR="001950DE" w:rsidRDefault="001950DE" w:rsidP="0066487F">
      <w:pPr>
        <w:spacing w:after="0" w:line="240" w:lineRule="auto"/>
      </w:pPr>
      <w:r>
        <w:separator/>
      </w:r>
    </w:p>
  </w:footnote>
  <w:footnote w:type="continuationSeparator" w:id="0">
    <w:p w14:paraId="44F4CD6E" w14:textId="77777777" w:rsidR="001950DE" w:rsidRDefault="001950DE"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861E" w14:textId="77777777" w:rsidR="0066487F" w:rsidRPr="0066487F" w:rsidRDefault="009C34E9">
    <w:pPr>
      <w:pStyle w:val="Header"/>
      <w:rPr>
        <w:rFonts w:ascii="Verdana" w:hAnsi="Verdana"/>
        <w:szCs w:val="24"/>
      </w:rPr>
    </w:pPr>
    <w:r>
      <w:rPr>
        <w:rFonts w:ascii="Verdana" w:hAnsi="Verdana"/>
        <w:noProof/>
        <w:szCs w:val="24"/>
      </w:rPr>
      <w:drawing>
        <wp:inline distT="0" distB="0" distL="0" distR="0" wp14:anchorId="6D170FFF" wp14:editId="28CD9FA7">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68E7F6B3"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29F5E51"/>
    <w:multiLevelType w:val="hybridMultilevel"/>
    <w:tmpl w:val="8D626FCE"/>
    <w:lvl w:ilvl="0" w:tplc="C6E28248">
      <w:start w:val="1"/>
      <w:numFmt w:val="bullet"/>
      <w:pStyle w:val="Bullet1"/>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104CD"/>
    <w:multiLevelType w:val="hybridMultilevel"/>
    <w:tmpl w:val="A0FEE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2"/>
  </w:num>
  <w:num w:numId="4">
    <w:abstractNumId w:val="3"/>
  </w:num>
  <w:num w:numId="5">
    <w:abstractNumId w:val="10"/>
  </w:num>
  <w:num w:numId="6">
    <w:abstractNumId w:val="2"/>
  </w:num>
  <w:num w:numId="7">
    <w:abstractNumId w:val="11"/>
  </w:num>
  <w:num w:numId="8">
    <w:abstractNumId w:val="13"/>
  </w:num>
  <w:num w:numId="9">
    <w:abstractNumId w:val="1"/>
  </w:num>
  <w:num w:numId="10">
    <w:abstractNumId w:val="5"/>
  </w:num>
  <w:num w:numId="11">
    <w:abstractNumId w:val="14"/>
  </w:num>
  <w:num w:numId="12">
    <w:abstractNumId w:val="8"/>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F170C"/>
    <w:rsid w:val="00104D6B"/>
    <w:rsid w:val="00107509"/>
    <w:rsid w:val="00191FBF"/>
    <w:rsid w:val="001950DE"/>
    <w:rsid w:val="001A6AB2"/>
    <w:rsid w:val="001C4F84"/>
    <w:rsid w:val="001D04F3"/>
    <w:rsid w:val="001F698B"/>
    <w:rsid w:val="00204DC2"/>
    <w:rsid w:val="00282648"/>
    <w:rsid w:val="002D4839"/>
    <w:rsid w:val="002D5B0F"/>
    <w:rsid w:val="003013B8"/>
    <w:rsid w:val="0033192C"/>
    <w:rsid w:val="003B6BD8"/>
    <w:rsid w:val="003F462D"/>
    <w:rsid w:val="00411960"/>
    <w:rsid w:val="0042527F"/>
    <w:rsid w:val="004355EF"/>
    <w:rsid w:val="00445399"/>
    <w:rsid w:val="005F6E58"/>
    <w:rsid w:val="006637AF"/>
    <w:rsid w:val="0066487F"/>
    <w:rsid w:val="006668BB"/>
    <w:rsid w:val="006E094A"/>
    <w:rsid w:val="007161FB"/>
    <w:rsid w:val="00717E04"/>
    <w:rsid w:val="00792C9B"/>
    <w:rsid w:val="00797993"/>
    <w:rsid w:val="007B3E20"/>
    <w:rsid w:val="008228E7"/>
    <w:rsid w:val="00836569"/>
    <w:rsid w:val="00875E48"/>
    <w:rsid w:val="008B353D"/>
    <w:rsid w:val="008B54E3"/>
    <w:rsid w:val="008E3E91"/>
    <w:rsid w:val="009536CD"/>
    <w:rsid w:val="009C2FC8"/>
    <w:rsid w:val="009C34E9"/>
    <w:rsid w:val="00A047BB"/>
    <w:rsid w:val="00A77719"/>
    <w:rsid w:val="00A84AF0"/>
    <w:rsid w:val="00AF32E9"/>
    <w:rsid w:val="00B96A66"/>
    <w:rsid w:val="00BA253C"/>
    <w:rsid w:val="00BD6ABF"/>
    <w:rsid w:val="00BF37D6"/>
    <w:rsid w:val="00C02699"/>
    <w:rsid w:val="00C234F8"/>
    <w:rsid w:val="00C2737D"/>
    <w:rsid w:val="00C41CE0"/>
    <w:rsid w:val="00C54188"/>
    <w:rsid w:val="00C72E22"/>
    <w:rsid w:val="00C841D9"/>
    <w:rsid w:val="00C951A2"/>
    <w:rsid w:val="00D7341F"/>
    <w:rsid w:val="00DE586F"/>
    <w:rsid w:val="00E046B3"/>
    <w:rsid w:val="00E1237C"/>
    <w:rsid w:val="00EA2056"/>
    <w:rsid w:val="00F15156"/>
    <w:rsid w:val="00FA6E5F"/>
    <w:rsid w:val="00FD3519"/>
    <w:rsid w:val="00FF70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DE6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 w:type="paragraph" w:styleId="Title">
    <w:name w:val="Title"/>
    <w:basedOn w:val="Normal"/>
    <w:next w:val="Normal"/>
    <w:link w:val="TitleChar"/>
    <w:uiPriority w:val="10"/>
    <w:qFormat/>
    <w:rsid w:val="004355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5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149F0-A748-4F42-A6D2-CAC8CEC0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633</Words>
  <Characters>3722</Characters>
  <Application>Microsoft Macintosh Word</Application>
  <DocSecurity>0</DocSecurity>
  <Lines>97</Lines>
  <Paragraphs>38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6</cp:revision>
  <dcterms:created xsi:type="dcterms:W3CDTF">2013-12-31T05:31:00Z</dcterms:created>
  <dcterms:modified xsi:type="dcterms:W3CDTF">2016-12-01T22:35:00Z</dcterms:modified>
</cp:coreProperties>
</file>