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D8FB2E1" w14:textId="77777777" w:rsidR="00104D6B" w:rsidRPr="004678F6" w:rsidRDefault="004678F6" w:rsidP="0078750E">
      <w:pPr>
        <w:pStyle w:val="Title"/>
        <w:jc w:val="center"/>
        <w:rPr>
          <w:rFonts w:eastAsia="MS Mincho"/>
        </w:rPr>
      </w:pPr>
      <w:r w:rsidRPr="004678F6">
        <w:rPr>
          <w:rFonts w:eastAsia="MS Mincho"/>
        </w:rPr>
        <w:t>Technology Equipment Disposal Policy</w:t>
      </w:r>
    </w:p>
    <w:p w14:paraId="7CCE209A" w14:textId="77777777" w:rsidR="004678F6" w:rsidRPr="004678F6" w:rsidRDefault="004678F6" w:rsidP="004678F6">
      <w:pPr>
        <w:pStyle w:val="PlainText"/>
        <w:jc w:val="center"/>
        <w:rPr>
          <w:rFonts w:ascii="Arial" w:eastAsia="MS Mincho" w:hAnsi="Arial" w:cs="Arial"/>
          <w:b/>
          <w:bCs/>
        </w:rPr>
      </w:pPr>
    </w:p>
    <w:p w14:paraId="0AC59D00" w14:textId="77777777" w:rsidR="00C72E22" w:rsidRDefault="00C72E22" w:rsidP="00A84AF0">
      <w:pPr>
        <w:pStyle w:val="Heading1"/>
        <w:numPr>
          <w:ilvl w:val="0"/>
          <w:numId w:val="1"/>
        </w:numPr>
        <w:spacing w:before="0"/>
      </w:pPr>
      <w:r>
        <w:t>Overview</w:t>
      </w:r>
    </w:p>
    <w:p w14:paraId="5A24AF96" w14:textId="77777777" w:rsidR="00C72E22" w:rsidRDefault="005D2495" w:rsidP="006E59BC">
      <w:pPr>
        <w:pStyle w:val="PlainText"/>
        <w:jc w:val="both"/>
        <w:rPr>
          <w:rFonts w:ascii="Times New Roman" w:eastAsia="MS Mincho" w:hAnsi="Times New Roman" w:cs="Times New Roman"/>
          <w:sz w:val="24"/>
          <w:szCs w:val="24"/>
        </w:rPr>
      </w:pPr>
      <w:r w:rsidRPr="005D2495">
        <w:rPr>
          <w:rFonts w:ascii="Times New Roman" w:eastAsia="MS Mincho" w:hAnsi="Times New Roman" w:cs="Times New Roman"/>
          <w:sz w:val="24"/>
          <w:szCs w:val="24"/>
        </w:rPr>
        <w:t xml:space="preserve">Technology equipment often contains parts which cannot simply be thrown away.  Proper disposal of equipment is both environmentally responsible and often required by law.  In addition, hard drives, USB drives, CD-ROMs and other storage media contain various kinds of </w:t>
      </w:r>
      <w:r w:rsidR="0078750E">
        <w:rPr>
          <w:rFonts w:ascii="Times New Roman" w:eastAsia="MS Mincho" w:hAnsi="Times New Roman" w:cs="Times New Roman"/>
          <w:sz w:val="24"/>
          <w:szCs w:val="24"/>
        </w:rPr>
        <w:t>ScaleArc</w:t>
      </w:r>
      <w:r w:rsidRPr="005D2495">
        <w:rPr>
          <w:rFonts w:ascii="Times New Roman" w:eastAsia="MS Mincho" w:hAnsi="Times New Roman" w:cs="Times New Roman"/>
          <w:sz w:val="24"/>
          <w:szCs w:val="24"/>
        </w:rPr>
        <w:t xml:space="preserve"> data, some of which is considered sensitive.  In order to protect our constituent’s data, all storage mediums must be properly erased before being disposed of.  However, simply deleting or even formatting data is not considered sufficient.  When deleting files or formatting a device, data is marked for deletion, but is still accessible until being overwritten by a new file.  Therefore, special tools must be used to securely erase data prior to equipment disposal.  </w:t>
      </w:r>
    </w:p>
    <w:p w14:paraId="4C70FC3C" w14:textId="77777777" w:rsidR="006E59BC" w:rsidRPr="006E59BC" w:rsidRDefault="006E59BC" w:rsidP="006E59BC">
      <w:pPr>
        <w:pStyle w:val="PlainText"/>
        <w:jc w:val="both"/>
        <w:rPr>
          <w:rFonts w:ascii="Times New Roman" w:eastAsia="MS Mincho" w:hAnsi="Times New Roman" w:cs="Times New Roman"/>
          <w:sz w:val="24"/>
          <w:szCs w:val="24"/>
        </w:rPr>
      </w:pPr>
    </w:p>
    <w:p w14:paraId="25897579" w14:textId="77777777" w:rsidR="00C72E22" w:rsidRDefault="00C72E22" w:rsidP="00A84AF0">
      <w:pPr>
        <w:pStyle w:val="Heading1"/>
        <w:numPr>
          <w:ilvl w:val="0"/>
          <w:numId w:val="1"/>
        </w:numPr>
        <w:spacing w:before="0"/>
      </w:pPr>
      <w:r>
        <w:t>Purpose</w:t>
      </w:r>
    </w:p>
    <w:p w14:paraId="256C571C" w14:textId="77777777" w:rsidR="00B46C72" w:rsidRDefault="00B46C72" w:rsidP="006E59BC">
      <w:pPr>
        <w:spacing w:after="0" w:line="240" w:lineRule="auto"/>
        <w:rPr>
          <w:rFonts w:eastAsia="Times New Roman" w:cs="Times New Roman"/>
          <w:szCs w:val="24"/>
        </w:rPr>
      </w:pPr>
      <w:r>
        <w:rPr>
          <w:rFonts w:eastAsia="Times New Roman" w:cs="Times New Roman"/>
          <w:szCs w:val="24"/>
        </w:rPr>
        <w:t>The purpose of t</w:t>
      </w:r>
      <w:r w:rsidRPr="00B46C72">
        <w:rPr>
          <w:rFonts w:eastAsia="Times New Roman" w:cs="Times New Roman"/>
          <w:szCs w:val="24"/>
        </w:rPr>
        <w:t xml:space="preserve">his policy </w:t>
      </w:r>
      <w:r>
        <w:rPr>
          <w:rFonts w:eastAsia="Times New Roman" w:cs="Times New Roman"/>
          <w:szCs w:val="24"/>
        </w:rPr>
        <w:t>it to define</w:t>
      </w:r>
      <w:r w:rsidRPr="00B46C72">
        <w:rPr>
          <w:rFonts w:eastAsia="Times New Roman" w:cs="Times New Roman"/>
          <w:szCs w:val="24"/>
        </w:rPr>
        <w:t xml:space="preserve"> the guideli</w:t>
      </w:r>
      <w:r>
        <w:rPr>
          <w:rFonts w:eastAsia="Times New Roman" w:cs="Times New Roman"/>
          <w:szCs w:val="24"/>
        </w:rPr>
        <w:t>nes for the disposal of technology</w:t>
      </w:r>
      <w:r w:rsidRPr="00B46C72">
        <w:rPr>
          <w:rFonts w:eastAsia="Times New Roman" w:cs="Times New Roman"/>
          <w:szCs w:val="24"/>
        </w:rPr>
        <w:t xml:space="preserve"> equipment and components owned by</w:t>
      </w:r>
      <w:r w:rsidR="0078750E" w:rsidRPr="0078750E">
        <w:rPr>
          <w:rFonts w:eastAsia="MS Mincho"/>
          <w:szCs w:val="24"/>
        </w:rPr>
        <w:t xml:space="preserve"> </w:t>
      </w:r>
      <w:r w:rsidR="0078750E" w:rsidRPr="009022E5">
        <w:rPr>
          <w:rFonts w:eastAsia="MS Mincho"/>
          <w:szCs w:val="24"/>
        </w:rPr>
        <w:t>ScalArc, Inc. (“ScaleArc”</w:t>
      </w:r>
      <w:r w:rsidR="0078750E">
        <w:rPr>
          <w:rFonts w:eastAsia="MS Mincho"/>
          <w:szCs w:val="24"/>
        </w:rPr>
        <w:t xml:space="preserve"> </w:t>
      </w:r>
      <w:r w:rsidR="0078750E" w:rsidRPr="009022E5">
        <w:rPr>
          <w:rFonts w:eastAsia="MS Mincho"/>
          <w:szCs w:val="24"/>
        </w:rPr>
        <w:t>or the “Company”)</w:t>
      </w:r>
      <w:r>
        <w:rPr>
          <w:rFonts w:eastAsia="Times New Roman" w:cs="Times New Roman"/>
          <w:szCs w:val="24"/>
        </w:rPr>
        <w:t>.</w:t>
      </w:r>
      <w:r w:rsidRPr="00B46C72">
        <w:rPr>
          <w:rFonts w:eastAsia="Times New Roman" w:cs="Times New Roman"/>
          <w:szCs w:val="24"/>
        </w:rPr>
        <w:t xml:space="preserve"> </w:t>
      </w:r>
    </w:p>
    <w:p w14:paraId="485690D5" w14:textId="77777777" w:rsidR="006E59BC" w:rsidRPr="006E59BC" w:rsidRDefault="006E59BC" w:rsidP="006E59BC">
      <w:pPr>
        <w:spacing w:after="0" w:line="240" w:lineRule="auto"/>
        <w:rPr>
          <w:rFonts w:eastAsia="Times New Roman" w:cs="Times New Roman"/>
          <w:szCs w:val="24"/>
        </w:rPr>
      </w:pPr>
    </w:p>
    <w:p w14:paraId="3BFF160B" w14:textId="77777777" w:rsidR="00C72E22" w:rsidRDefault="00C72E22" w:rsidP="00A84AF0">
      <w:pPr>
        <w:pStyle w:val="Heading1"/>
        <w:numPr>
          <w:ilvl w:val="0"/>
          <w:numId w:val="1"/>
        </w:numPr>
        <w:spacing w:before="0"/>
      </w:pPr>
      <w:r>
        <w:t>Scope</w:t>
      </w:r>
    </w:p>
    <w:p w14:paraId="43FD7598" w14:textId="77777777" w:rsidR="00B46C72" w:rsidRPr="00EB41B4" w:rsidRDefault="00B46C72" w:rsidP="00B46C72">
      <w:pPr>
        <w:spacing w:after="0" w:line="240" w:lineRule="auto"/>
        <w:rPr>
          <w:rFonts w:eastAsia="Times New Roman" w:cs="Times New Roman"/>
          <w:szCs w:val="24"/>
        </w:rPr>
      </w:pPr>
      <w:r w:rsidRPr="00EB41B4">
        <w:rPr>
          <w:rFonts w:eastAsia="Times New Roman" w:cs="Times New Roman"/>
          <w:szCs w:val="24"/>
        </w:rPr>
        <w:t xml:space="preserve">This policy applies to any computer/technology equipment or peripheral devices that are no longer needed within </w:t>
      </w:r>
      <w:r w:rsidR="0078750E">
        <w:rPr>
          <w:rFonts w:eastAsia="Times New Roman" w:cs="Times New Roman"/>
          <w:szCs w:val="24"/>
        </w:rPr>
        <w:t>ScaleArc</w:t>
      </w:r>
      <w:r w:rsidRPr="00EB41B4">
        <w:rPr>
          <w:rFonts w:eastAsia="Times New Roman" w:cs="Times New Roman"/>
          <w:szCs w:val="24"/>
        </w:rPr>
        <w:t xml:space="preserve"> including, but not limited to the following:  personal computers, servers, hard drives, laptops, mainframes, smart phones, or handheld computers ( i.e., Windows Mobile, iOS or Android-based devices), peripherals (i.e., keyboards, mice, speakers), printers, scanners, typewriters, compact and floppy discs, portable storage devices (i.e., USB drives), backup tapes, printed materials. </w:t>
      </w:r>
    </w:p>
    <w:p w14:paraId="6D951AA3" w14:textId="77777777" w:rsidR="006E59BC" w:rsidRDefault="006E59BC" w:rsidP="00B46C72">
      <w:pPr>
        <w:spacing w:after="0" w:line="240" w:lineRule="auto"/>
        <w:rPr>
          <w:rFonts w:eastAsia="Times New Roman" w:cs="Times New Roman"/>
          <w:szCs w:val="24"/>
        </w:rPr>
      </w:pPr>
    </w:p>
    <w:p w14:paraId="0C2BD7EE" w14:textId="77777777" w:rsidR="00B46C72" w:rsidRPr="006E59BC" w:rsidRDefault="006E59BC" w:rsidP="004A5CEF">
      <w:pPr>
        <w:rPr>
          <w:rFonts w:eastAsia="MS Mincho"/>
          <w:szCs w:val="24"/>
        </w:rPr>
      </w:pPr>
      <w:r>
        <w:rPr>
          <w:rFonts w:eastAsia="Times New Roman" w:cs="Times New Roman"/>
          <w:szCs w:val="24"/>
        </w:rPr>
        <w:t xml:space="preserve">All </w:t>
      </w:r>
      <w:r w:rsidR="0078750E">
        <w:rPr>
          <w:rFonts w:eastAsia="Times New Roman" w:cs="Times New Roman"/>
          <w:szCs w:val="24"/>
        </w:rPr>
        <w:t>ScaleArc</w:t>
      </w:r>
      <w:r w:rsidR="00EB41B4">
        <w:rPr>
          <w:rFonts w:eastAsia="Times New Roman" w:cs="Times New Roman"/>
          <w:szCs w:val="24"/>
        </w:rPr>
        <w:t xml:space="preserve"> </w:t>
      </w:r>
      <w:r>
        <w:rPr>
          <w:rFonts w:eastAsia="MS Mincho"/>
          <w:szCs w:val="24"/>
        </w:rPr>
        <w:t xml:space="preserve">employees and affiliates must comply with this policy. </w:t>
      </w:r>
    </w:p>
    <w:p w14:paraId="09076A8E" w14:textId="77777777" w:rsidR="00C72E22" w:rsidRDefault="00C72E22" w:rsidP="00A84AF0">
      <w:pPr>
        <w:pStyle w:val="Heading1"/>
        <w:numPr>
          <w:ilvl w:val="0"/>
          <w:numId w:val="1"/>
        </w:numPr>
        <w:spacing w:before="0"/>
      </w:pPr>
      <w:r>
        <w:t>Policy</w:t>
      </w:r>
    </w:p>
    <w:p w14:paraId="7C8F79B0" w14:textId="77777777" w:rsidR="00B46C72" w:rsidRDefault="005D2495" w:rsidP="00B46C72">
      <w:pPr>
        <w:pStyle w:val="PlainText"/>
        <w:numPr>
          <w:ilvl w:val="1"/>
          <w:numId w:val="8"/>
        </w:numPr>
        <w:jc w:val="both"/>
        <w:rPr>
          <w:rFonts w:ascii="Times New Roman" w:eastAsia="MS Mincho" w:hAnsi="Times New Roman" w:cs="Times New Roman"/>
          <w:sz w:val="24"/>
          <w:szCs w:val="24"/>
        </w:rPr>
      </w:pPr>
      <w:r w:rsidRPr="005D2495">
        <w:rPr>
          <w:rFonts w:ascii="Times New Roman" w:eastAsia="MS Mincho" w:hAnsi="Times New Roman" w:cs="Times New Roman"/>
          <w:sz w:val="24"/>
          <w:szCs w:val="24"/>
        </w:rPr>
        <w:t>Technology Equipment Disposal</w:t>
      </w:r>
    </w:p>
    <w:p w14:paraId="273C464E" w14:textId="77777777" w:rsid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 xml:space="preserve">When Technology assets have reached the end of their useful life they should be sent to the </w:t>
      </w:r>
      <w:r>
        <w:rPr>
          <w:rFonts w:ascii="Times New Roman" w:hAnsi="Times New Roman" w:cs="Times New Roman"/>
          <w:sz w:val="24"/>
          <w:szCs w:val="24"/>
        </w:rPr>
        <w:t xml:space="preserve">&lt;Equipment Disposal Team&gt; </w:t>
      </w:r>
      <w:r w:rsidRPr="00B46C72">
        <w:rPr>
          <w:rFonts w:ascii="Times New Roman" w:hAnsi="Times New Roman" w:cs="Times New Roman"/>
          <w:sz w:val="24"/>
          <w:szCs w:val="24"/>
        </w:rPr>
        <w:t>office for proper disposal.</w:t>
      </w:r>
    </w:p>
    <w:p w14:paraId="4E61F16E" w14:textId="77777777" w:rsid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The &lt;Equipment Disposal Team&gt; will securely erase all storage mediums in accordance with current industry best practices.</w:t>
      </w:r>
    </w:p>
    <w:p w14:paraId="1E77F3A9"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Pr>
          <w:rFonts w:ascii="Times New Roman" w:eastAsia="MS Mincho" w:hAnsi="Times New Roman" w:cs="Times New Roman"/>
          <w:sz w:val="24"/>
          <w:szCs w:val="24"/>
        </w:rPr>
        <w:t xml:space="preserve">All </w:t>
      </w:r>
      <w:r>
        <w:rPr>
          <w:rFonts w:ascii="Times New Roman" w:hAnsi="Times New Roman" w:cs="Times New Roman"/>
          <w:sz w:val="24"/>
          <w:szCs w:val="24"/>
        </w:rPr>
        <w:t>d</w:t>
      </w:r>
      <w:r w:rsidRPr="00B46C72">
        <w:rPr>
          <w:rFonts w:ascii="Times New Roman" w:hAnsi="Times New Roman" w:cs="Times New Roman"/>
          <w:sz w:val="24"/>
          <w:szCs w:val="24"/>
        </w:rPr>
        <w:t>ata including</w:t>
      </w:r>
      <w:r>
        <w:rPr>
          <w:rFonts w:ascii="Times New Roman" w:hAnsi="Times New Roman" w:cs="Times New Roman"/>
          <w:sz w:val="24"/>
          <w:szCs w:val="24"/>
        </w:rPr>
        <w:t>,</w:t>
      </w:r>
      <w:r w:rsidRPr="00B46C72">
        <w:rPr>
          <w:rFonts w:ascii="Times New Roman" w:hAnsi="Times New Roman" w:cs="Times New Roman"/>
          <w:sz w:val="24"/>
          <w:szCs w:val="24"/>
        </w:rPr>
        <w:t xml:space="preserve"> all files and licensed software shall be removed from equipment using disk sanitizing software that cleans the media overwriting each and every disk sector of the machine with zero-filled blocks, meeting Department of Defense standards.</w:t>
      </w:r>
    </w:p>
    <w:p w14:paraId="7ACB670B"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No computer</w:t>
      </w:r>
      <w:r w:rsidR="006E59BC">
        <w:rPr>
          <w:rFonts w:ascii="Times New Roman" w:hAnsi="Times New Roman" w:cs="Times New Roman"/>
          <w:sz w:val="24"/>
          <w:szCs w:val="24"/>
        </w:rPr>
        <w:t xml:space="preserve"> or technology</w:t>
      </w:r>
      <w:r w:rsidRPr="00B46C72">
        <w:rPr>
          <w:rFonts w:ascii="Times New Roman" w:hAnsi="Times New Roman" w:cs="Times New Roman"/>
          <w:sz w:val="24"/>
          <w:szCs w:val="24"/>
        </w:rPr>
        <w:t xml:space="preserve"> equipment may be sold to any individual other than through the pro</w:t>
      </w:r>
      <w:r w:rsidR="006E59BC">
        <w:rPr>
          <w:rFonts w:ascii="Times New Roman" w:hAnsi="Times New Roman" w:cs="Times New Roman"/>
          <w:sz w:val="24"/>
          <w:szCs w:val="24"/>
        </w:rPr>
        <w:t>cesses identified in this policy (Section 4.2 below).</w:t>
      </w:r>
    </w:p>
    <w:p w14:paraId="683D0A3A"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No computer equipment should be disposed of via skips, dumps, landfill etc.</w:t>
      </w:r>
      <w:r>
        <w:rPr>
          <w:rFonts w:ascii="Times New Roman" w:hAnsi="Times New Roman" w:cs="Times New Roman"/>
          <w:sz w:val="24"/>
          <w:szCs w:val="24"/>
        </w:rPr>
        <w:t xml:space="preserve">  Electronic recycling bins may be periodically placed in locations around </w:t>
      </w:r>
      <w:r w:rsidR="0078750E">
        <w:rPr>
          <w:rFonts w:ascii="Times New Roman" w:hAnsi="Times New Roman" w:cs="Times New Roman"/>
          <w:sz w:val="24"/>
          <w:szCs w:val="24"/>
        </w:rPr>
        <w:t>ScaleArc</w:t>
      </w:r>
      <w:r>
        <w:rPr>
          <w:rFonts w:ascii="Times New Roman" w:hAnsi="Times New Roman" w:cs="Times New Roman"/>
          <w:sz w:val="24"/>
          <w:szCs w:val="24"/>
        </w:rPr>
        <w:t xml:space="preserve">.  These can be </w:t>
      </w:r>
      <w:r>
        <w:rPr>
          <w:rFonts w:ascii="Times New Roman" w:hAnsi="Times New Roman" w:cs="Times New Roman"/>
          <w:sz w:val="24"/>
          <w:szCs w:val="24"/>
        </w:rPr>
        <w:lastRenderedPageBreak/>
        <w:t xml:space="preserve">used to dispose of equipment.  The &lt;Equipment Disposal Team&gt; will properly remove all data prior to final disposal. </w:t>
      </w:r>
    </w:p>
    <w:p w14:paraId="08BE4F61"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Pr>
          <w:rFonts w:ascii="Times New Roman" w:hAnsi="Times New Roman" w:cs="Times New Roman"/>
          <w:sz w:val="24"/>
          <w:szCs w:val="24"/>
        </w:rPr>
        <w:t>All e</w:t>
      </w:r>
      <w:r w:rsidRPr="00B46C72">
        <w:rPr>
          <w:rFonts w:ascii="Times New Roman" w:hAnsi="Times New Roman" w:cs="Times New Roman"/>
          <w:sz w:val="24"/>
          <w:szCs w:val="24"/>
        </w:rPr>
        <w:t>lectronic drives must be degaussed or overwritten with a commercially available disk cleaning program. Hard drives may also be removed and rendered unreadable (drilling,</w:t>
      </w:r>
      <w:r>
        <w:rPr>
          <w:rFonts w:ascii="Times New Roman" w:hAnsi="Times New Roman" w:cs="Times New Roman"/>
          <w:sz w:val="24"/>
          <w:szCs w:val="24"/>
        </w:rPr>
        <w:t xml:space="preserve"> c</w:t>
      </w:r>
      <w:r w:rsidRPr="00B46C72">
        <w:rPr>
          <w:rFonts w:ascii="Times New Roman" w:hAnsi="Times New Roman" w:cs="Times New Roman"/>
          <w:sz w:val="24"/>
          <w:szCs w:val="24"/>
        </w:rPr>
        <w:t>rushing or other demolition methods).</w:t>
      </w:r>
    </w:p>
    <w:p w14:paraId="07F7FCD5"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Computer Equipment refers to desktop, laptop, tablet or netbook computers, printers, copiers, monitors, servers, handheld devices, telephones, cell phones, disc drives or any storage device, network switches, routers, wireless access points, batteries, backup tapes, etc.</w:t>
      </w:r>
    </w:p>
    <w:p w14:paraId="4FAB1A85" w14:textId="77777777" w:rsidR="00B46C72" w:rsidRPr="00B46C72" w:rsidRDefault="00B46C72" w:rsidP="00B46C72">
      <w:pPr>
        <w:pStyle w:val="PlainText"/>
        <w:numPr>
          <w:ilvl w:val="2"/>
          <w:numId w:val="8"/>
        </w:numPr>
        <w:spacing w:after="240"/>
        <w:jc w:val="both"/>
        <w:rPr>
          <w:rFonts w:ascii="Times New Roman" w:eastAsia="MS Mincho" w:hAnsi="Times New Roman" w:cs="Times New Roman"/>
          <w:sz w:val="24"/>
          <w:szCs w:val="24"/>
        </w:rPr>
      </w:pPr>
      <w:r>
        <w:rPr>
          <w:rFonts w:ascii="Times New Roman" w:hAnsi="Times New Roman" w:cs="Times New Roman"/>
          <w:sz w:val="24"/>
          <w:szCs w:val="24"/>
        </w:rPr>
        <w:t>The &lt;Equipment Disposal Team&gt; will p</w:t>
      </w:r>
      <w:r w:rsidRPr="00B46C72">
        <w:rPr>
          <w:rFonts w:ascii="Times New Roman" w:hAnsi="Times New Roman" w:cs="Times New Roman"/>
          <w:sz w:val="24"/>
          <w:szCs w:val="24"/>
        </w:rPr>
        <w:t>lace a sticker on the equipment case indicating the disk wipe has been performed. The sticker will include the date and the initials of the technician who performed the disk wipe.</w:t>
      </w:r>
    </w:p>
    <w:p w14:paraId="7225416C" w14:textId="77777777" w:rsidR="005D2495" w:rsidRPr="00942066" w:rsidRDefault="00B46C72" w:rsidP="005D2495">
      <w:pPr>
        <w:pStyle w:val="PlainText"/>
        <w:numPr>
          <w:ilvl w:val="2"/>
          <w:numId w:val="8"/>
        </w:numPr>
        <w:spacing w:after="240"/>
        <w:jc w:val="both"/>
        <w:rPr>
          <w:rFonts w:ascii="Times New Roman" w:eastAsia="MS Mincho" w:hAnsi="Times New Roman" w:cs="Times New Roman"/>
          <w:sz w:val="24"/>
          <w:szCs w:val="24"/>
        </w:rPr>
      </w:pPr>
      <w:r w:rsidRPr="00B46C72">
        <w:rPr>
          <w:rFonts w:ascii="Times New Roman" w:hAnsi="Times New Roman" w:cs="Times New Roman"/>
          <w:sz w:val="24"/>
          <w:szCs w:val="24"/>
        </w:rPr>
        <w:t>Technology equipment with non-functioning memory or storage technology will have the memory or storage device removed and it will be physically destroyed</w:t>
      </w:r>
      <w:r>
        <w:rPr>
          <w:rFonts w:ascii="Times New Roman" w:hAnsi="Times New Roman" w:cs="Times New Roman"/>
          <w:sz w:val="24"/>
          <w:szCs w:val="24"/>
        </w:rPr>
        <w:t>.</w:t>
      </w:r>
    </w:p>
    <w:p w14:paraId="1A4BB5A9" w14:textId="77777777" w:rsidR="00942066" w:rsidRPr="00942066" w:rsidRDefault="00942066" w:rsidP="00942066">
      <w:pPr>
        <w:pStyle w:val="PlainText"/>
        <w:numPr>
          <w:ilvl w:val="1"/>
          <w:numId w:val="8"/>
        </w:numPr>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 Employee Purchase of Disposed Equipment</w:t>
      </w:r>
    </w:p>
    <w:p w14:paraId="6584DDBF"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Equipment which is working, but reached the end of its useful life to </w:t>
      </w:r>
      <w:r w:rsidR="00176BED">
        <w:rPr>
          <w:rFonts w:ascii="Times New Roman" w:eastAsia="MS Mincho" w:hAnsi="Times New Roman" w:cs="Times New Roman"/>
          <w:sz w:val="24"/>
          <w:szCs w:val="24"/>
        </w:rPr>
        <w:t>ScaleArc</w:t>
      </w:r>
      <w:r w:rsidRPr="00942066">
        <w:rPr>
          <w:rFonts w:ascii="Times New Roman" w:eastAsia="MS Mincho" w:hAnsi="Times New Roman" w:cs="Times New Roman"/>
          <w:sz w:val="24"/>
          <w:szCs w:val="24"/>
        </w:rPr>
        <w:t>, will be made available for purchase by employees.</w:t>
      </w:r>
    </w:p>
    <w:p w14:paraId="353BE1EC"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A lottery system will be used to determine who has the opportunity to purchase available equipment.</w:t>
      </w:r>
    </w:p>
    <w:p w14:paraId="5556E609"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All equipment purchases must go through the lottery process.  Employees cannot purchase their office computer directly or “reserve” a system.  This ensures that all employees have an equal chance of obtaining equipment.</w:t>
      </w:r>
    </w:p>
    <w:p w14:paraId="01C3D62B"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Finance and Information Technology will determine an appropriate cost for each item.  </w:t>
      </w:r>
    </w:p>
    <w:p w14:paraId="50FBDC81"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All purchases are final.  No warranty or support will be provided with any equipment sold.  </w:t>
      </w:r>
    </w:p>
    <w:p w14:paraId="69471322" w14:textId="77777777" w:rsid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Any equipment not in working order or remaining from the lottery process will be donated or disposed of according to current environmental guidelines.  </w:t>
      </w:r>
      <w:r>
        <w:rPr>
          <w:rFonts w:ascii="Times New Roman" w:eastAsia="MS Mincho" w:hAnsi="Times New Roman" w:cs="Times New Roman"/>
          <w:sz w:val="24"/>
          <w:szCs w:val="24"/>
        </w:rPr>
        <w:t>Information</w:t>
      </w:r>
    </w:p>
    <w:p w14:paraId="66B60120" w14:textId="77777777" w:rsid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Technology has contracted with several organizations to donate or properly dispose of outdated technology assets</w:t>
      </w:r>
      <w:r w:rsidRPr="00942066">
        <w:rPr>
          <w:rFonts w:ascii="Arial" w:eastAsia="MS Mincho" w:hAnsi="Arial" w:cs="Arial"/>
        </w:rPr>
        <w:t xml:space="preserve">.   </w:t>
      </w:r>
    </w:p>
    <w:p w14:paraId="6F56198A" w14:textId="77777777" w:rsidR="00942066" w:rsidRPr="00942066" w:rsidRDefault="00942066" w:rsidP="00942066">
      <w:pPr>
        <w:pStyle w:val="PlainText"/>
        <w:numPr>
          <w:ilvl w:val="2"/>
          <w:numId w:val="8"/>
        </w:numPr>
        <w:spacing w:after="240"/>
        <w:jc w:val="both"/>
        <w:rPr>
          <w:rFonts w:ascii="Times New Roman" w:eastAsia="MS Mincho" w:hAnsi="Times New Roman" w:cs="Times New Roman"/>
          <w:sz w:val="24"/>
          <w:szCs w:val="24"/>
        </w:rPr>
      </w:pPr>
      <w:r w:rsidRPr="00942066">
        <w:rPr>
          <w:rFonts w:ascii="Times New Roman" w:eastAsia="MS Mincho" w:hAnsi="Times New Roman" w:cs="Times New Roman"/>
          <w:sz w:val="24"/>
          <w:szCs w:val="24"/>
        </w:rPr>
        <w:t xml:space="preserve">Prior to leaving </w:t>
      </w:r>
      <w:r w:rsidR="00176BED">
        <w:rPr>
          <w:rFonts w:ascii="Times New Roman" w:eastAsia="MS Mincho" w:hAnsi="Times New Roman" w:cs="Times New Roman"/>
          <w:sz w:val="24"/>
          <w:szCs w:val="24"/>
        </w:rPr>
        <w:t>ScaleArc</w:t>
      </w:r>
      <w:r w:rsidRPr="00942066">
        <w:rPr>
          <w:rFonts w:ascii="Times New Roman" w:eastAsia="MS Mincho" w:hAnsi="Times New Roman" w:cs="Times New Roman"/>
          <w:sz w:val="24"/>
          <w:szCs w:val="24"/>
        </w:rPr>
        <w:t xml:space="preserve"> premises, all equipment must be removed from the Information Technology inventory system.  </w:t>
      </w:r>
    </w:p>
    <w:p w14:paraId="551EB912" w14:textId="77777777" w:rsidR="00C72E22" w:rsidRDefault="009C2FC8" w:rsidP="00A84AF0">
      <w:pPr>
        <w:pStyle w:val="Heading1"/>
        <w:numPr>
          <w:ilvl w:val="0"/>
          <w:numId w:val="1"/>
        </w:numPr>
        <w:spacing w:before="0"/>
      </w:pPr>
      <w:r>
        <w:t>Policy Compliance</w:t>
      </w:r>
    </w:p>
    <w:p w14:paraId="16AEBDC9" w14:textId="77777777" w:rsidR="00B96A66" w:rsidRPr="00B96A66" w:rsidRDefault="00B96A66" w:rsidP="00B96A66">
      <w:pPr>
        <w:pStyle w:val="ListParagraph"/>
        <w:numPr>
          <w:ilvl w:val="1"/>
          <w:numId w:val="4"/>
        </w:numPr>
        <w:ind w:left="360"/>
        <w:rPr>
          <w:rFonts w:cs="Times New Roman"/>
          <w:szCs w:val="24"/>
        </w:rPr>
      </w:pPr>
      <w:r w:rsidRPr="00B96A66">
        <w:rPr>
          <w:rFonts w:cs="Times New Roman"/>
          <w:szCs w:val="24"/>
        </w:rPr>
        <w:t>Compliance Measurement</w:t>
      </w:r>
    </w:p>
    <w:p w14:paraId="48B37E1E" w14:textId="77777777" w:rsidR="00B96A66" w:rsidRPr="001C31CD" w:rsidRDefault="00B96A66" w:rsidP="00B96A66">
      <w:pPr>
        <w:pStyle w:val="ListParagraph"/>
        <w:ind w:left="0"/>
        <w:rPr>
          <w:rFonts w:cs="Times New Roman"/>
          <w:szCs w:val="24"/>
        </w:rPr>
      </w:pPr>
      <w:r w:rsidRPr="00F72060">
        <w:rPr>
          <w:rFonts w:cs="Times New Roman"/>
          <w:szCs w:val="24"/>
        </w:rPr>
        <w:lastRenderedPageBreak/>
        <w:t xml:space="preserve">The </w:t>
      </w:r>
      <w:r w:rsidR="00176BED">
        <w:rPr>
          <w:rFonts w:cs="Times New Roman"/>
          <w:szCs w:val="24"/>
        </w:rPr>
        <w:t>Operations</w:t>
      </w:r>
      <w:r w:rsidRPr="00F72060">
        <w:rPr>
          <w:rFonts w:cs="Times New Roman"/>
          <w:szCs w:val="24"/>
        </w:rPr>
        <w:t xml:space="preserve"> team will verify compliance to this policy through various methods, including but not limited to, business tool reports, internal and external audits, and feedback to the policy owner. </w:t>
      </w:r>
    </w:p>
    <w:p w14:paraId="28FA2449" w14:textId="77777777" w:rsidR="00B96A66"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Exceptions</w:t>
      </w:r>
    </w:p>
    <w:p w14:paraId="1F4EC0C4" w14:textId="77777777" w:rsidR="00B96A66" w:rsidRPr="001C31CD" w:rsidRDefault="00B96A66" w:rsidP="00B96A66">
      <w:pPr>
        <w:pStyle w:val="ListParagraph"/>
        <w:ind w:left="0"/>
        <w:rPr>
          <w:rFonts w:cs="Times New Roman"/>
          <w:szCs w:val="24"/>
        </w:rPr>
      </w:pPr>
      <w:r w:rsidRPr="00F72060">
        <w:rPr>
          <w:rFonts w:cs="Times New Roman"/>
          <w:szCs w:val="24"/>
        </w:rPr>
        <w:t xml:space="preserve">Any exception to the policy must be approved by the </w:t>
      </w:r>
      <w:r w:rsidR="00176BED">
        <w:rPr>
          <w:rFonts w:cs="Times New Roman"/>
          <w:szCs w:val="24"/>
        </w:rPr>
        <w:t>Operations</w:t>
      </w:r>
      <w:r w:rsidR="00EB41B4">
        <w:rPr>
          <w:rFonts w:cs="Times New Roman"/>
          <w:szCs w:val="24"/>
        </w:rPr>
        <w:t xml:space="preserve"> T</w:t>
      </w:r>
      <w:r w:rsidRPr="00F72060">
        <w:rPr>
          <w:rFonts w:cs="Times New Roman"/>
          <w:szCs w:val="24"/>
        </w:rPr>
        <w:t xml:space="preserve">eam in advance. </w:t>
      </w:r>
    </w:p>
    <w:p w14:paraId="2B45D42E" w14:textId="77777777" w:rsidR="00B96A66" w:rsidRPr="001C31CD" w:rsidRDefault="00B96A66" w:rsidP="00B96A66">
      <w:pPr>
        <w:pStyle w:val="Heading1"/>
        <w:numPr>
          <w:ilvl w:val="1"/>
          <w:numId w:val="4"/>
        </w:numPr>
        <w:spacing w:before="0" w:line="240" w:lineRule="auto"/>
        <w:ind w:left="360"/>
        <w:rPr>
          <w:rFonts w:ascii="Times New Roman" w:hAnsi="Times New Roman" w:cs="Times New Roman"/>
          <w:b w:val="0"/>
          <w:color w:val="auto"/>
          <w:sz w:val="24"/>
          <w:szCs w:val="24"/>
        </w:rPr>
      </w:pPr>
      <w:r w:rsidRPr="001C31CD">
        <w:rPr>
          <w:rFonts w:ascii="Times New Roman" w:hAnsi="Times New Roman" w:cs="Times New Roman"/>
          <w:b w:val="0"/>
          <w:color w:val="auto"/>
          <w:sz w:val="24"/>
          <w:szCs w:val="24"/>
        </w:rPr>
        <w:t>Non-Compliance</w:t>
      </w:r>
    </w:p>
    <w:p w14:paraId="30E9AC4C" w14:textId="77777777" w:rsidR="00C72E22" w:rsidRPr="00B96A66" w:rsidRDefault="00B96A66" w:rsidP="00B96A66">
      <w:pPr>
        <w:pStyle w:val="ListParagraph"/>
        <w:ind w:left="0"/>
        <w:rPr>
          <w:rFonts w:cs="Times New Roman"/>
          <w:szCs w:val="24"/>
        </w:rPr>
      </w:pPr>
      <w:r w:rsidRPr="00F72060">
        <w:rPr>
          <w:rFonts w:cs="Times New Roman"/>
          <w:szCs w:val="24"/>
        </w:rPr>
        <w:t xml:space="preserve">An employee found to have violated this policy may be subject to disciplinary action, up to and including termination of employment. </w:t>
      </w:r>
    </w:p>
    <w:p w14:paraId="0F83B34F" w14:textId="77777777" w:rsidR="00A84AF0" w:rsidRDefault="009C2FC8" w:rsidP="00B96A66">
      <w:pPr>
        <w:pStyle w:val="Heading1"/>
        <w:numPr>
          <w:ilvl w:val="0"/>
          <w:numId w:val="4"/>
        </w:numPr>
      </w:pPr>
      <w:r>
        <w:t>Related Standards, Policies and Processes</w:t>
      </w:r>
    </w:p>
    <w:p w14:paraId="4A828D0E" w14:textId="77777777" w:rsidR="00A84AF0" w:rsidRPr="00A84AF0" w:rsidRDefault="00942066" w:rsidP="00A84AF0">
      <w:r>
        <w:t xml:space="preserve"> None.</w:t>
      </w:r>
    </w:p>
    <w:p w14:paraId="0D6A2423" w14:textId="77777777" w:rsidR="009C2FC8" w:rsidRDefault="009C2FC8" w:rsidP="00B96A66">
      <w:pPr>
        <w:pStyle w:val="Heading1"/>
        <w:numPr>
          <w:ilvl w:val="0"/>
          <w:numId w:val="4"/>
        </w:numPr>
        <w:spacing w:before="0"/>
      </w:pPr>
      <w:r>
        <w:t>Definitions and Terms</w:t>
      </w:r>
    </w:p>
    <w:p w14:paraId="3BF90238" w14:textId="77777777" w:rsidR="00A84AF0" w:rsidRPr="00A84AF0" w:rsidRDefault="00942066" w:rsidP="00A84AF0">
      <w:r>
        <w:t>None.</w:t>
      </w:r>
    </w:p>
    <w:p w14:paraId="5AD6FE53" w14:textId="77777777" w:rsidR="00C72E22" w:rsidRDefault="00C72E22" w:rsidP="00B96A66">
      <w:pPr>
        <w:pStyle w:val="Heading1"/>
        <w:numPr>
          <w:ilvl w:val="0"/>
          <w:numId w:val="4"/>
        </w:numPr>
        <w:spacing w:before="0"/>
      </w:pPr>
      <w:r>
        <w:t>Revision History</w:t>
      </w:r>
    </w:p>
    <w:tbl>
      <w:tblPr>
        <w:tblStyle w:val="MediumShading1-Accent1"/>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908"/>
        <w:gridCol w:w="2340"/>
        <w:gridCol w:w="5328"/>
      </w:tblGrid>
      <w:tr w:rsidR="00FD3519" w14:paraId="6C94D253" w14:textId="77777777" w:rsidTr="00B96A66">
        <w:trPr>
          <w:cnfStyle w:val="100000000000" w:firstRow="1" w:lastRow="0" w:firstColumn="0" w:lastColumn="0" w:oddVBand="0" w:evenVBand="0" w:oddHBand="0" w:evenHBand="0" w:firstRowFirstColumn="0" w:firstRowLastColumn="0" w:lastRowFirstColumn="0" w:lastRowLastColumn="0"/>
          <w:trHeight w:val="448"/>
        </w:trPr>
        <w:tc>
          <w:tcPr>
            <w:cnfStyle w:val="001000000000" w:firstRow="0" w:lastRow="0" w:firstColumn="1" w:lastColumn="0" w:oddVBand="0" w:evenVBand="0" w:oddHBand="0" w:evenHBand="0" w:firstRowFirstColumn="0" w:firstRowLastColumn="0" w:lastRowFirstColumn="0" w:lastRowLastColumn="0"/>
            <w:tcW w:w="1908" w:type="dxa"/>
            <w:tcBorders>
              <w:top w:val="none" w:sz="0" w:space="0" w:color="auto"/>
              <w:left w:val="none" w:sz="0" w:space="0" w:color="auto"/>
              <w:bottom w:val="none" w:sz="0" w:space="0" w:color="auto"/>
              <w:right w:val="none" w:sz="0" w:space="0" w:color="auto"/>
            </w:tcBorders>
            <w:shd w:val="clear" w:color="auto" w:fill="auto"/>
          </w:tcPr>
          <w:p w14:paraId="04E7AA25" w14:textId="77777777" w:rsidR="00FD3519" w:rsidRPr="00B96A66" w:rsidRDefault="00FD3519" w:rsidP="009E63CC">
            <w:pPr>
              <w:pStyle w:val="Heading1"/>
              <w:outlineLvl w:val="0"/>
              <w:rPr>
                <w:b/>
                <w:color w:val="000000" w:themeColor="text1"/>
                <w:sz w:val="24"/>
                <w:szCs w:val="24"/>
              </w:rPr>
            </w:pPr>
            <w:r w:rsidRPr="00B96A66">
              <w:rPr>
                <w:b/>
                <w:color w:val="000000" w:themeColor="text1"/>
                <w:sz w:val="24"/>
                <w:szCs w:val="24"/>
              </w:rPr>
              <w:t>Date of Change</w:t>
            </w:r>
          </w:p>
        </w:tc>
        <w:tc>
          <w:tcPr>
            <w:tcW w:w="2340" w:type="dxa"/>
            <w:tcBorders>
              <w:top w:val="none" w:sz="0" w:space="0" w:color="auto"/>
              <w:left w:val="none" w:sz="0" w:space="0" w:color="auto"/>
              <w:bottom w:val="none" w:sz="0" w:space="0" w:color="auto"/>
              <w:right w:val="none" w:sz="0" w:space="0" w:color="auto"/>
            </w:tcBorders>
            <w:shd w:val="clear" w:color="auto" w:fill="auto"/>
          </w:tcPr>
          <w:p w14:paraId="467707CF"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Responsible</w:t>
            </w:r>
          </w:p>
        </w:tc>
        <w:tc>
          <w:tcPr>
            <w:tcW w:w="5328" w:type="dxa"/>
            <w:tcBorders>
              <w:top w:val="none" w:sz="0" w:space="0" w:color="auto"/>
              <w:left w:val="none" w:sz="0" w:space="0" w:color="auto"/>
              <w:bottom w:val="none" w:sz="0" w:space="0" w:color="auto"/>
              <w:right w:val="none" w:sz="0" w:space="0" w:color="auto"/>
            </w:tcBorders>
            <w:shd w:val="clear" w:color="auto" w:fill="auto"/>
          </w:tcPr>
          <w:p w14:paraId="5F737D25" w14:textId="77777777" w:rsidR="00FD3519" w:rsidRPr="00B96A66" w:rsidRDefault="00FD3519" w:rsidP="009E63CC">
            <w:pPr>
              <w:pStyle w:val="Heading1"/>
              <w:outlineLvl w:val="0"/>
              <w:cnfStyle w:val="100000000000" w:firstRow="1" w:lastRow="0" w:firstColumn="0" w:lastColumn="0" w:oddVBand="0" w:evenVBand="0" w:oddHBand="0" w:evenHBand="0" w:firstRowFirstColumn="0" w:firstRowLastColumn="0" w:lastRowFirstColumn="0" w:lastRowLastColumn="0"/>
              <w:rPr>
                <w:b/>
                <w:color w:val="000000" w:themeColor="text1"/>
                <w:sz w:val="24"/>
                <w:szCs w:val="24"/>
              </w:rPr>
            </w:pPr>
            <w:r w:rsidRPr="00B96A66">
              <w:rPr>
                <w:b/>
                <w:color w:val="000000" w:themeColor="text1"/>
                <w:sz w:val="24"/>
                <w:szCs w:val="24"/>
              </w:rPr>
              <w:t>Summary of Change</w:t>
            </w:r>
          </w:p>
        </w:tc>
      </w:tr>
      <w:tr w:rsidR="00FD3519" w14:paraId="37BD1D68" w14:textId="77777777" w:rsidTr="00B96A66">
        <w:trPr>
          <w:cnfStyle w:val="000000100000" w:firstRow="0" w:lastRow="0" w:firstColumn="0" w:lastColumn="0" w:oddVBand="0" w:evenVBand="0" w:oddHBand="1" w:evenHBand="0" w:firstRowFirstColumn="0" w:firstRowLastColumn="0" w:lastRowFirstColumn="0" w:lastRowLastColumn="0"/>
          <w:trHeight w:val="665"/>
        </w:trPr>
        <w:tc>
          <w:tcPr>
            <w:cnfStyle w:val="001000000000" w:firstRow="0" w:lastRow="0" w:firstColumn="1" w:lastColumn="0" w:oddVBand="0" w:evenVBand="0" w:oddHBand="0" w:evenHBand="0" w:firstRowFirstColumn="0" w:firstRowLastColumn="0" w:lastRowFirstColumn="0" w:lastRowLastColumn="0"/>
            <w:tcW w:w="1908" w:type="dxa"/>
            <w:tcBorders>
              <w:bottom w:val="single" w:sz="4" w:space="0" w:color="000000" w:themeColor="text1"/>
              <w:right w:val="none" w:sz="0" w:space="0" w:color="auto"/>
            </w:tcBorders>
            <w:shd w:val="clear" w:color="auto" w:fill="auto"/>
          </w:tcPr>
          <w:p w14:paraId="2455AAD9" w14:textId="77777777" w:rsidR="00FD3519" w:rsidRPr="00B96A66" w:rsidRDefault="00176BED" w:rsidP="009E63CC">
            <w:pPr>
              <w:pStyle w:val="Heading1"/>
              <w:outlineLvl w:val="0"/>
              <w:rPr>
                <w:rFonts w:ascii="Times New Roman" w:hAnsi="Times New Roman" w:cs="Times New Roman"/>
                <w:color w:val="auto"/>
                <w:sz w:val="24"/>
                <w:szCs w:val="24"/>
              </w:rPr>
            </w:pPr>
            <w:r>
              <w:rPr>
                <w:rFonts w:ascii="Times New Roman" w:hAnsi="Times New Roman" w:cs="Times New Roman"/>
                <w:color w:val="auto"/>
                <w:sz w:val="24"/>
                <w:szCs w:val="24"/>
              </w:rPr>
              <w:t>December</w:t>
            </w:r>
            <w:r w:rsidR="001C1558">
              <w:rPr>
                <w:rFonts w:ascii="Times New Roman" w:hAnsi="Times New Roman" w:cs="Times New Roman"/>
                <w:color w:val="auto"/>
                <w:sz w:val="24"/>
                <w:szCs w:val="24"/>
              </w:rPr>
              <w:t xml:space="preserve"> 201</w:t>
            </w:r>
            <w:r>
              <w:rPr>
                <w:rFonts w:ascii="Times New Roman" w:hAnsi="Times New Roman" w:cs="Times New Roman"/>
                <w:color w:val="auto"/>
                <w:sz w:val="24"/>
                <w:szCs w:val="24"/>
              </w:rPr>
              <w:t>6</w:t>
            </w:r>
          </w:p>
        </w:tc>
        <w:tc>
          <w:tcPr>
            <w:tcW w:w="2340" w:type="dxa"/>
            <w:tcBorders>
              <w:left w:val="none" w:sz="0" w:space="0" w:color="auto"/>
              <w:bottom w:val="single" w:sz="4" w:space="0" w:color="000000" w:themeColor="text1"/>
              <w:right w:val="none" w:sz="0" w:space="0" w:color="auto"/>
            </w:tcBorders>
            <w:shd w:val="clear" w:color="auto" w:fill="auto"/>
          </w:tcPr>
          <w:p w14:paraId="05880181" w14:textId="77777777" w:rsidR="00FD3519" w:rsidRPr="00B96A66" w:rsidRDefault="00176BED"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Operations</w:t>
            </w:r>
            <w:r w:rsidR="00B96A66" w:rsidRPr="00B96A66">
              <w:rPr>
                <w:rFonts w:ascii="Times New Roman" w:hAnsi="Times New Roman" w:cs="Times New Roman"/>
                <w:b w:val="0"/>
                <w:color w:val="auto"/>
                <w:sz w:val="24"/>
                <w:szCs w:val="24"/>
              </w:rPr>
              <w:t xml:space="preserve"> Team</w:t>
            </w:r>
            <w:r>
              <w:rPr>
                <w:rFonts w:ascii="Times New Roman" w:hAnsi="Times New Roman" w:cs="Times New Roman"/>
                <w:b w:val="0"/>
                <w:color w:val="auto"/>
                <w:sz w:val="24"/>
                <w:szCs w:val="24"/>
              </w:rPr>
              <w:t xml:space="preserve"> Management</w:t>
            </w:r>
          </w:p>
        </w:tc>
        <w:tc>
          <w:tcPr>
            <w:tcW w:w="5328" w:type="dxa"/>
            <w:tcBorders>
              <w:left w:val="none" w:sz="0" w:space="0" w:color="auto"/>
              <w:bottom w:val="single" w:sz="4" w:space="0" w:color="000000" w:themeColor="text1"/>
            </w:tcBorders>
            <w:shd w:val="clear" w:color="auto" w:fill="auto"/>
          </w:tcPr>
          <w:p w14:paraId="4DAE6DF5" w14:textId="77777777" w:rsidR="00FD3519" w:rsidRPr="00B96A66" w:rsidRDefault="00176BED" w:rsidP="009E63CC">
            <w:pPr>
              <w:pStyle w:val="Heading1"/>
              <w:outlineLvl w:val="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b w:val="0"/>
                <w:color w:val="auto"/>
                <w:sz w:val="24"/>
                <w:szCs w:val="24"/>
              </w:rPr>
            </w:pPr>
            <w:r>
              <w:rPr>
                <w:rFonts w:ascii="Times New Roman" w:hAnsi="Times New Roman" w:cs="Times New Roman"/>
                <w:b w:val="0"/>
                <w:color w:val="auto"/>
                <w:sz w:val="24"/>
                <w:szCs w:val="24"/>
              </w:rPr>
              <w:t>Initial p</w:t>
            </w:r>
            <w:bookmarkStart w:id="0" w:name="_GoBack"/>
            <w:bookmarkEnd w:id="0"/>
            <w:r>
              <w:rPr>
                <w:rFonts w:ascii="Times New Roman" w:hAnsi="Times New Roman" w:cs="Times New Roman"/>
                <w:b w:val="0"/>
                <w:color w:val="auto"/>
                <w:sz w:val="24"/>
                <w:szCs w:val="24"/>
              </w:rPr>
              <w:t>olicy creation</w:t>
            </w:r>
          </w:p>
        </w:tc>
      </w:tr>
      <w:tr w:rsidR="00FD3519" w14:paraId="585098A8" w14:textId="77777777" w:rsidTr="00B96A66">
        <w:trPr>
          <w:cnfStyle w:val="000000010000" w:firstRow="0" w:lastRow="0" w:firstColumn="0" w:lastColumn="0" w:oddVBand="0" w:evenVBand="0" w:oddHBand="0" w:evenHBand="1" w:firstRowFirstColumn="0" w:firstRowLastColumn="0" w:lastRowFirstColumn="0" w:lastRowLastColumn="0"/>
          <w:trHeight w:val="485"/>
        </w:trPr>
        <w:tc>
          <w:tcPr>
            <w:cnfStyle w:val="001000000000" w:firstRow="0" w:lastRow="0" w:firstColumn="1" w:lastColumn="0" w:oddVBand="0" w:evenVBand="0" w:oddHBand="0" w:evenHBand="0" w:firstRowFirstColumn="0" w:firstRowLastColumn="0" w:lastRowFirstColumn="0" w:lastRowLastColumn="0"/>
            <w:tcW w:w="1908" w:type="dxa"/>
            <w:tcBorders>
              <w:right w:val="single" w:sz="4" w:space="0" w:color="000000" w:themeColor="text1"/>
            </w:tcBorders>
            <w:shd w:val="clear" w:color="auto" w:fill="auto"/>
          </w:tcPr>
          <w:p w14:paraId="6D1DEA9B" w14:textId="77777777" w:rsidR="00FD3519" w:rsidRDefault="00FD3519" w:rsidP="009E63CC">
            <w:pPr>
              <w:pStyle w:val="Heading1"/>
              <w:outlineLvl w:val="0"/>
            </w:pPr>
          </w:p>
        </w:tc>
        <w:tc>
          <w:tcPr>
            <w:tcW w:w="2340" w:type="dxa"/>
            <w:tcBorders>
              <w:left w:val="single" w:sz="4" w:space="0" w:color="000000" w:themeColor="text1"/>
              <w:right w:val="single" w:sz="4" w:space="0" w:color="000000" w:themeColor="text1"/>
            </w:tcBorders>
            <w:shd w:val="clear" w:color="auto" w:fill="auto"/>
          </w:tcPr>
          <w:p w14:paraId="2FBE359E"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c>
          <w:tcPr>
            <w:tcW w:w="5328" w:type="dxa"/>
            <w:tcBorders>
              <w:left w:val="single" w:sz="4" w:space="0" w:color="000000" w:themeColor="text1"/>
            </w:tcBorders>
            <w:shd w:val="clear" w:color="auto" w:fill="auto"/>
          </w:tcPr>
          <w:p w14:paraId="2F1BCB3C" w14:textId="77777777" w:rsidR="00FD3519" w:rsidRDefault="00FD3519" w:rsidP="009E63CC">
            <w:pPr>
              <w:pStyle w:val="Heading1"/>
              <w:outlineLvl w:val="0"/>
              <w:cnfStyle w:val="000000010000" w:firstRow="0" w:lastRow="0" w:firstColumn="0" w:lastColumn="0" w:oddVBand="0" w:evenVBand="0" w:oddHBand="0" w:evenHBand="1" w:firstRowFirstColumn="0" w:firstRowLastColumn="0" w:lastRowFirstColumn="0" w:lastRowLastColumn="0"/>
            </w:pPr>
          </w:p>
        </w:tc>
      </w:tr>
    </w:tbl>
    <w:p w14:paraId="26FD5966" w14:textId="77777777" w:rsidR="00FD3519" w:rsidRPr="00FD3519" w:rsidRDefault="00FD3519" w:rsidP="00FD3519"/>
    <w:sectPr w:rsidR="00FD3519" w:rsidRPr="00FD3519">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17F77B" w14:textId="77777777" w:rsidR="00AD2497" w:rsidRDefault="00AD2497" w:rsidP="0066487F">
      <w:pPr>
        <w:spacing w:after="0" w:line="240" w:lineRule="auto"/>
      </w:pPr>
      <w:r>
        <w:separator/>
      </w:r>
    </w:p>
  </w:endnote>
  <w:endnote w:type="continuationSeparator" w:id="0">
    <w:p w14:paraId="41D645D5" w14:textId="77777777" w:rsidR="00AD2497" w:rsidRDefault="00AD2497" w:rsidP="006648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Verdana">
    <w:panose1 w:val="020B0604030504040204"/>
    <w:charset w:val="00"/>
    <w:family w:val="auto"/>
    <w:pitch w:val="variable"/>
    <w:sig w:usb0="A10006FF" w:usb1="4000205B" w:usb2="0000001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18F01E1" w14:textId="77777777" w:rsidR="0066487F" w:rsidRPr="00C72E22" w:rsidRDefault="001C1558" w:rsidP="00C72E22">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SANS Institute 2014</w:t>
    </w:r>
    <w:r w:rsidR="00C72E22">
      <w:rPr>
        <w:rFonts w:asciiTheme="majorHAnsi" w:eastAsiaTheme="majorEastAsia" w:hAnsiTheme="majorHAnsi" w:cstheme="majorBidi"/>
      </w:rPr>
      <w:t xml:space="preserve"> – All Rights Reserved</w:t>
    </w:r>
    <w:r w:rsidR="00C72E22">
      <w:rPr>
        <w:rFonts w:asciiTheme="majorHAnsi" w:eastAsiaTheme="majorEastAsia" w:hAnsiTheme="majorHAnsi" w:cstheme="majorBidi"/>
      </w:rPr>
      <w:ptab w:relativeTo="margin" w:alignment="right" w:leader="none"/>
    </w:r>
    <w:r w:rsidR="00C72E22">
      <w:rPr>
        <w:rFonts w:asciiTheme="majorHAnsi" w:eastAsiaTheme="majorEastAsia" w:hAnsiTheme="majorHAnsi" w:cstheme="majorBidi"/>
      </w:rPr>
      <w:t xml:space="preserve">Page </w:t>
    </w:r>
    <w:r w:rsidR="00C72E22">
      <w:rPr>
        <w:rFonts w:asciiTheme="minorHAnsi" w:eastAsiaTheme="minorEastAsia" w:hAnsiTheme="minorHAnsi"/>
      </w:rPr>
      <w:fldChar w:fldCharType="begin"/>
    </w:r>
    <w:r w:rsidR="00C72E22">
      <w:instrText xml:space="preserve"> PAGE   \* MERGEFORMAT </w:instrText>
    </w:r>
    <w:r w:rsidR="00C72E22">
      <w:rPr>
        <w:rFonts w:asciiTheme="minorHAnsi" w:eastAsiaTheme="minorEastAsia" w:hAnsiTheme="minorHAnsi"/>
      </w:rPr>
      <w:fldChar w:fldCharType="separate"/>
    </w:r>
    <w:r w:rsidR="00176BED" w:rsidRPr="00176BED">
      <w:rPr>
        <w:rFonts w:asciiTheme="majorHAnsi" w:eastAsiaTheme="majorEastAsia" w:hAnsiTheme="majorHAnsi" w:cstheme="majorBidi"/>
        <w:noProof/>
      </w:rPr>
      <w:t>3</w:t>
    </w:r>
    <w:r w:rsidR="00C72E22">
      <w:rPr>
        <w:rFonts w:asciiTheme="majorHAnsi" w:eastAsiaTheme="majorEastAsia" w:hAnsiTheme="majorHAnsi" w:cstheme="majorBidi"/>
        <w:noProof/>
      </w:rP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6A013A2" w14:textId="77777777" w:rsidR="00AD2497" w:rsidRDefault="00AD2497" w:rsidP="0066487F">
      <w:pPr>
        <w:spacing w:after="0" w:line="240" w:lineRule="auto"/>
      </w:pPr>
      <w:r>
        <w:separator/>
      </w:r>
    </w:p>
  </w:footnote>
  <w:footnote w:type="continuationSeparator" w:id="0">
    <w:p w14:paraId="7E47075A" w14:textId="77777777" w:rsidR="00AD2497" w:rsidRDefault="00AD2497" w:rsidP="0066487F">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9C37D87" w14:textId="77777777" w:rsidR="0066487F" w:rsidRPr="0066487F" w:rsidRDefault="0078750E">
    <w:pPr>
      <w:pStyle w:val="Header"/>
      <w:rPr>
        <w:rFonts w:ascii="Verdana" w:hAnsi="Verdana"/>
        <w:szCs w:val="24"/>
      </w:rPr>
    </w:pPr>
    <w:r>
      <w:rPr>
        <w:rFonts w:ascii="Verdana" w:hAnsi="Verdana"/>
        <w:noProof/>
        <w:szCs w:val="24"/>
      </w:rPr>
      <w:drawing>
        <wp:inline distT="0" distB="0" distL="0" distR="0" wp14:anchorId="13FA84ED" wp14:editId="0CCA2D9A">
          <wp:extent cx="1402080" cy="34137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aleArc_Small.png"/>
                  <pic:cNvPicPr/>
                </pic:nvPicPr>
                <pic:blipFill>
                  <a:blip r:embed="rId1">
                    <a:extLst>
                      <a:ext uri="{28A0092B-C50C-407E-A947-70E740481C1C}">
                        <a14:useLocalDpi xmlns:a14="http://schemas.microsoft.com/office/drawing/2010/main" val="0"/>
                      </a:ext>
                    </a:extLst>
                  </a:blip>
                  <a:stretch>
                    <a:fillRect/>
                  </a:stretch>
                </pic:blipFill>
                <pic:spPr>
                  <a:xfrm>
                    <a:off x="0" y="0"/>
                    <a:ext cx="1402080" cy="341376"/>
                  </a:xfrm>
                  <a:prstGeom prst="rect">
                    <a:avLst/>
                  </a:prstGeom>
                </pic:spPr>
              </pic:pic>
            </a:graphicData>
          </a:graphic>
        </wp:inline>
      </w:drawing>
    </w:r>
  </w:p>
  <w:p w14:paraId="3BB39A48" w14:textId="77777777" w:rsidR="0066487F" w:rsidRDefault="0066487F">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7101E4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E2D133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108A2CB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9F043F7"/>
    <w:multiLevelType w:val="hybridMultilevel"/>
    <w:tmpl w:val="E7A685E8"/>
    <w:lvl w:ilvl="0" w:tplc="D6EA86FC">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D992E67"/>
    <w:multiLevelType w:val="multilevel"/>
    <w:tmpl w:val="E7E4D92E"/>
    <w:lvl w:ilvl="0">
      <w:start w:val="5"/>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5">
    <w:nsid w:val="2EF0601A"/>
    <w:multiLevelType w:val="multilevel"/>
    <w:tmpl w:val="09BA9D82"/>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nsid w:val="3074080C"/>
    <w:multiLevelType w:val="hybridMultilevel"/>
    <w:tmpl w:val="8BE2F5F8"/>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41CB3F74"/>
    <w:multiLevelType w:val="multilevel"/>
    <w:tmpl w:val="EB687F20"/>
    <w:lvl w:ilvl="0">
      <w:start w:val="5"/>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nsid w:val="54E81FB1"/>
    <w:multiLevelType w:val="multilevel"/>
    <w:tmpl w:val="D9D2DDEA"/>
    <w:lvl w:ilvl="0">
      <w:start w:val="5"/>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6"/>
  </w:num>
  <w:num w:numId="2">
    <w:abstractNumId w:val="0"/>
  </w:num>
  <w:num w:numId="3">
    <w:abstractNumId w:val="8"/>
  </w:num>
  <w:num w:numId="4">
    <w:abstractNumId w:val="4"/>
  </w:num>
  <w:num w:numId="5">
    <w:abstractNumId w:val="7"/>
  </w:num>
  <w:num w:numId="6">
    <w:abstractNumId w:val="3"/>
  </w:num>
  <w:num w:numId="7">
    <w:abstractNumId w:val="1"/>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6487F"/>
    <w:rsid w:val="0001223E"/>
    <w:rsid w:val="000424FD"/>
    <w:rsid w:val="00104D6B"/>
    <w:rsid w:val="00176BED"/>
    <w:rsid w:val="001A6AB2"/>
    <w:rsid w:val="001C1558"/>
    <w:rsid w:val="001C4F84"/>
    <w:rsid w:val="001D04F3"/>
    <w:rsid w:val="001F698B"/>
    <w:rsid w:val="002D5B0F"/>
    <w:rsid w:val="003013B8"/>
    <w:rsid w:val="0033192C"/>
    <w:rsid w:val="00411960"/>
    <w:rsid w:val="00445399"/>
    <w:rsid w:val="004678F6"/>
    <w:rsid w:val="004A5CEF"/>
    <w:rsid w:val="005D2495"/>
    <w:rsid w:val="0066487F"/>
    <w:rsid w:val="006668BB"/>
    <w:rsid w:val="006E59BC"/>
    <w:rsid w:val="007161FB"/>
    <w:rsid w:val="00717E04"/>
    <w:rsid w:val="0078750E"/>
    <w:rsid w:val="00792C9B"/>
    <w:rsid w:val="00875E48"/>
    <w:rsid w:val="008B353D"/>
    <w:rsid w:val="008B54E3"/>
    <w:rsid w:val="00942066"/>
    <w:rsid w:val="009536CD"/>
    <w:rsid w:val="009C2FC8"/>
    <w:rsid w:val="009C3D37"/>
    <w:rsid w:val="00A84AF0"/>
    <w:rsid w:val="00AD2497"/>
    <w:rsid w:val="00AF32E9"/>
    <w:rsid w:val="00B46C72"/>
    <w:rsid w:val="00B96A66"/>
    <w:rsid w:val="00BA253C"/>
    <w:rsid w:val="00BD6ABF"/>
    <w:rsid w:val="00BF37D6"/>
    <w:rsid w:val="00C234F8"/>
    <w:rsid w:val="00C41CE0"/>
    <w:rsid w:val="00C54188"/>
    <w:rsid w:val="00C61B11"/>
    <w:rsid w:val="00C70FFF"/>
    <w:rsid w:val="00C72E22"/>
    <w:rsid w:val="00D30695"/>
    <w:rsid w:val="00D7341F"/>
    <w:rsid w:val="00E1237C"/>
    <w:rsid w:val="00EA2056"/>
    <w:rsid w:val="00EB41B4"/>
    <w:rsid w:val="00F07BAB"/>
    <w:rsid w:val="00FA6E5F"/>
    <w:rsid w:val="00FD3519"/>
    <w:rsid w:val="00FD3AD1"/>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1F5A6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B96A66"/>
    <w:rPr>
      <w:rFonts w:ascii="Times New Roman" w:hAnsi="Times New Roman"/>
      <w:sz w:val="24"/>
    </w:rPr>
  </w:style>
  <w:style w:type="paragraph" w:styleId="Heading1">
    <w:name w:val="heading 1"/>
    <w:basedOn w:val="Normal"/>
    <w:next w:val="Normal"/>
    <w:link w:val="Heading1Char"/>
    <w:uiPriority w:val="9"/>
    <w:qFormat/>
    <w:rsid w:val="00C72E2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48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487F"/>
    <w:rPr>
      <w:rFonts w:ascii="Tahoma" w:hAnsi="Tahoma" w:cs="Tahoma"/>
      <w:sz w:val="16"/>
      <w:szCs w:val="16"/>
    </w:rPr>
  </w:style>
  <w:style w:type="paragraph" w:styleId="Header">
    <w:name w:val="header"/>
    <w:basedOn w:val="Normal"/>
    <w:link w:val="HeaderChar"/>
    <w:uiPriority w:val="99"/>
    <w:unhideWhenUsed/>
    <w:rsid w:val="006648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6487F"/>
  </w:style>
  <w:style w:type="paragraph" w:styleId="Footer">
    <w:name w:val="footer"/>
    <w:basedOn w:val="Normal"/>
    <w:link w:val="FooterChar"/>
    <w:uiPriority w:val="99"/>
    <w:unhideWhenUsed/>
    <w:rsid w:val="006648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6487F"/>
  </w:style>
  <w:style w:type="character" w:styleId="Hyperlink">
    <w:name w:val="Hyperlink"/>
    <w:basedOn w:val="DefaultParagraphFont"/>
    <w:uiPriority w:val="99"/>
    <w:unhideWhenUsed/>
    <w:rsid w:val="00104D6B"/>
    <w:rPr>
      <w:color w:val="0000FF" w:themeColor="hyperlink"/>
      <w:u w:val="single"/>
    </w:rPr>
  </w:style>
  <w:style w:type="character" w:customStyle="1" w:styleId="Heading1Char">
    <w:name w:val="Heading 1 Char"/>
    <w:basedOn w:val="DefaultParagraphFont"/>
    <w:link w:val="Heading1"/>
    <w:uiPriority w:val="9"/>
    <w:rsid w:val="00C72E22"/>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C72E22"/>
    <w:pPr>
      <w:ind w:left="720"/>
      <w:contextualSpacing/>
    </w:pPr>
  </w:style>
  <w:style w:type="table" w:styleId="MediumShading1-Accent1">
    <w:name w:val="Medium Shading 1 Accent 1"/>
    <w:basedOn w:val="TableNormal"/>
    <w:uiPriority w:val="63"/>
    <w:rsid w:val="00FD3519"/>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paragraph" w:styleId="PlainText">
    <w:name w:val="Plain Text"/>
    <w:basedOn w:val="Normal"/>
    <w:link w:val="PlainTextChar"/>
    <w:rsid w:val="004678F6"/>
    <w:pPr>
      <w:spacing w:after="0" w:line="240" w:lineRule="auto"/>
    </w:pPr>
    <w:rPr>
      <w:rFonts w:ascii="Courier New" w:eastAsia="Times New Roman" w:hAnsi="Courier New" w:cs="Courier New"/>
      <w:sz w:val="20"/>
      <w:szCs w:val="20"/>
    </w:rPr>
  </w:style>
  <w:style w:type="character" w:customStyle="1" w:styleId="PlainTextChar">
    <w:name w:val="Plain Text Char"/>
    <w:basedOn w:val="DefaultParagraphFont"/>
    <w:link w:val="PlainText"/>
    <w:rsid w:val="004678F6"/>
    <w:rPr>
      <w:rFonts w:ascii="Courier New" w:eastAsia="Times New Roman" w:hAnsi="Courier New" w:cs="Courier New"/>
      <w:sz w:val="20"/>
      <w:szCs w:val="20"/>
    </w:rPr>
  </w:style>
  <w:style w:type="paragraph" w:styleId="Title">
    <w:name w:val="Title"/>
    <w:basedOn w:val="Normal"/>
    <w:next w:val="Normal"/>
    <w:link w:val="TitleChar"/>
    <w:uiPriority w:val="10"/>
    <w:qFormat/>
    <w:rsid w:val="0078750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8750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060742">
      <w:bodyDiv w:val="1"/>
      <w:marLeft w:val="0"/>
      <w:marRight w:val="0"/>
      <w:marTop w:val="0"/>
      <w:marBottom w:val="0"/>
      <w:divBdr>
        <w:top w:val="none" w:sz="0" w:space="0" w:color="auto"/>
        <w:left w:val="none" w:sz="0" w:space="0" w:color="auto"/>
        <w:bottom w:val="none" w:sz="0" w:space="0" w:color="auto"/>
        <w:right w:val="none" w:sz="0" w:space="0" w:color="auto"/>
      </w:divBdr>
      <w:divsChild>
        <w:div w:id="830679261">
          <w:marLeft w:val="0"/>
          <w:marRight w:val="0"/>
          <w:marTop w:val="0"/>
          <w:marBottom w:val="0"/>
          <w:divBdr>
            <w:top w:val="none" w:sz="0" w:space="0" w:color="auto"/>
            <w:left w:val="none" w:sz="0" w:space="0" w:color="auto"/>
            <w:bottom w:val="none" w:sz="0" w:space="0" w:color="auto"/>
            <w:right w:val="none" w:sz="0" w:space="0" w:color="auto"/>
          </w:divBdr>
        </w:div>
      </w:divsChild>
    </w:div>
    <w:div w:id="1208029771">
      <w:bodyDiv w:val="1"/>
      <w:marLeft w:val="0"/>
      <w:marRight w:val="0"/>
      <w:marTop w:val="0"/>
      <w:marBottom w:val="0"/>
      <w:divBdr>
        <w:top w:val="none" w:sz="0" w:space="0" w:color="auto"/>
        <w:left w:val="none" w:sz="0" w:space="0" w:color="auto"/>
        <w:bottom w:val="none" w:sz="0" w:space="0" w:color="auto"/>
        <w:right w:val="none" w:sz="0" w:space="0" w:color="auto"/>
      </w:divBdr>
      <w:divsChild>
        <w:div w:id="273289713">
          <w:marLeft w:val="0"/>
          <w:marRight w:val="0"/>
          <w:marTop w:val="0"/>
          <w:marBottom w:val="0"/>
          <w:divBdr>
            <w:top w:val="none" w:sz="0" w:space="0" w:color="auto"/>
            <w:left w:val="none" w:sz="0" w:space="0" w:color="auto"/>
            <w:bottom w:val="none" w:sz="0" w:space="0" w:color="auto"/>
            <w:right w:val="none" w:sz="0" w:space="0" w:color="auto"/>
          </w:divBdr>
          <w:divsChild>
            <w:div w:id="174685741">
              <w:marLeft w:val="0"/>
              <w:marRight w:val="0"/>
              <w:marTop w:val="0"/>
              <w:marBottom w:val="0"/>
              <w:divBdr>
                <w:top w:val="none" w:sz="0" w:space="0" w:color="auto"/>
                <w:left w:val="none" w:sz="0" w:space="0" w:color="auto"/>
                <w:bottom w:val="none" w:sz="0" w:space="0" w:color="auto"/>
                <w:right w:val="none" w:sz="0" w:space="0" w:color="auto"/>
              </w:divBdr>
            </w:div>
            <w:div w:id="801074780">
              <w:marLeft w:val="0"/>
              <w:marRight w:val="0"/>
              <w:marTop w:val="0"/>
              <w:marBottom w:val="0"/>
              <w:divBdr>
                <w:top w:val="none" w:sz="0" w:space="0" w:color="auto"/>
                <w:left w:val="none" w:sz="0" w:space="0" w:color="auto"/>
                <w:bottom w:val="none" w:sz="0" w:space="0" w:color="auto"/>
                <w:right w:val="none" w:sz="0" w:space="0" w:color="auto"/>
              </w:divBdr>
            </w:div>
            <w:div w:id="1898543409">
              <w:marLeft w:val="0"/>
              <w:marRight w:val="0"/>
              <w:marTop w:val="0"/>
              <w:marBottom w:val="0"/>
              <w:divBdr>
                <w:top w:val="none" w:sz="0" w:space="0" w:color="auto"/>
                <w:left w:val="none" w:sz="0" w:space="0" w:color="auto"/>
                <w:bottom w:val="none" w:sz="0" w:space="0" w:color="auto"/>
                <w:right w:val="none" w:sz="0" w:space="0" w:color="auto"/>
              </w:divBdr>
            </w:div>
            <w:div w:id="184562751">
              <w:marLeft w:val="0"/>
              <w:marRight w:val="0"/>
              <w:marTop w:val="0"/>
              <w:marBottom w:val="0"/>
              <w:divBdr>
                <w:top w:val="none" w:sz="0" w:space="0" w:color="auto"/>
                <w:left w:val="none" w:sz="0" w:space="0" w:color="auto"/>
                <w:bottom w:val="none" w:sz="0" w:space="0" w:color="auto"/>
                <w:right w:val="none" w:sz="0" w:space="0" w:color="auto"/>
              </w:divBdr>
            </w:div>
            <w:div w:id="1510366319">
              <w:marLeft w:val="0"/>
              <w:marRight w:val="0"/>
              <w:marTop w:val="0"/>
              <w:marBottom w:val="0"/>
              <w:divBdr>
                <w:top w:val="none" w:sz="0" w:space="0" w:color="auto"/>
                <w:left w:val="none" w:sz="0" w:space="0" w:color="auto"/>
                <w:bottom w:val="none" w:sz="0" w:space="0" w:color="auto"/>
                <w:right w:val="none" w:sz="0" w:space="0" w:color="auto"/>
              </w:divBdr>
            </w:div>
            <w:div w:id="834303285">
              <w:marLeft w:val="0"/>
              <w:marRight w:val="0"/>
              <w:marTop w:val="0"/>
              <w:marBottom w:val="0"/>
              <w:divBdr>
                <w:top w:val="none" w:sz="0" w:space="0" w:color="auto"/>
                <w:left w:val="none" w:sz="0" w:space="0" w:color="auto"/>
                <w:bottom w:val="none" w:sz="0" w:space="0" w:color="auto"/>
                <w:right w:val="none" w:sz="0" w:space="0" w:color="auto"/>
              </w:divBdr>
            </w:div>
            <w:div w:id="711610459">
              <w:marLeft w:val="0"/>
              <w:marRight w:val="0"/>
              <w:marTop w:val="0"/>
              <w:marBottom w:val="0"/>
              <w:divBdr>
                <w:top w:val="none" w:sz="0" w:space="0" w:color="auto"/>
                <w:left w:val="none" w:sz="0" w:space="0" w:color="auto"/>
                <w:bottom w:val="none" w:sz="0" w:space="0" w:color="auto"/>
                <w:right w:val="none" w:sz="0" w:space="0" w:color="auto"/>
              </w:divBdr>
            </w:div>
            <w:div w:id="1223565310">
              <w:marLeft w:val="0"/>
              <w:marRight w:val="0"/>
              <w:marTop w:val="0"/>
              <w:marBottom w:val="0"/>
              <w:divBdr>
                <w:top w:val="none" w:sz="0" w:space="0" w:color="auto"/>
                <w:left w:val="none" w:sz="0" w:space="0" w:color="auto"/>
                <w:bottom w:val="none" w:sz="0" w:space="0" w:color="auto"/>
                <w:right w:val="none" w:sz="0" w:space="0" w:color="auto"/>
              </w:divBdr>
            </w:div>
            <w:div w:id="1777797052">
              <w:marLeft w:val="0"/>
              <w:marRight w:val="0"/>
              <w:marTop w:val="0"/>
              <w:marBottom w:val="0"/>
              <w:divBdr>
                <w:top w:val="none" w:sz="0" w:space="0" w:color="auto"/>
                <w:left w:val="none" w:sz="0" w:space="0" w:color="auto"/>
                <w:bottom w:val="none" w:sz="0" w:space="0" w:color="auto"/>
                <w:right w:val="none" w:sz="0" w:space="0" w:color="auto"/>
              </w:divBdr>
            </w:div>
            <w:div w:id="989868125">
              <w:marLeft w:val="0"/>
              <w:marRight w:val="0"/>
              <w:marTop w:val="0"/>
              <w:marBottom w:val="0"/>
              <w:divBdr>
                <w:top w:val="none" w:sz="0" w:space="0" w:color="auto"/>
                <w:left w:val="none" w:sz="0" w:space="0" w:color="auto"/>
                <w:bottom w:val="none" w:sz="0" w:space="0" w:color="auto"/>
                <w:right w:val="none" w:sz="0" w:space="0" w:color="auto"/>
              </w:divBdr>
            </w:div>
            <w:div w:id="1763603111">
              <w:marLeft w:val="0"/>
              <w:marRight w:val="0"/>
              <w:marTop w:val="0"/>
              <w:marBottom w:val="0"/>
              <w:divBdr>
                <w:top w:val="none" w:sz="0" w:space="0" w:color="auto"/>
                <w:left w:val="none" w:sz="0" w:space="0" w:color="auto"/>
                <w:bottom w:val="none" w:sz="0" w:space="0" w:color="auto"/>
                <w:right w:val="none" w:sz="0" w:space="0" w:color="auto"/>
              </w:divBdr>
            </w:div>
            <w:div w:id="535388875">
              <w:marLeft w:val="0"/>
              <w:marRight w:val="0"/>
              <w:marTop w:val="0"/>
              <w:marBottom w:val="0"/>
              <w:divBdr>
                <w:top w:val="none" w:sz="0" w:space="0" w:color="auto"/>
                <w:left w:val="none" w:sz="0" w:space="0" w:color="auto"/>
                <w:bottom w:val="none" w:sz="0" w:space="0" w:color="auto"/>
                <w:right w:val="none" w:sz="0" w:space="0" w:color="auto"/>
              </w:divBdr>
            </w:div>
            <w:div w:id="964582670">
              <w:marLeft w:val="0"/>
              <w:marRight w:val="0"/>
              <w:marTop w:val="0"/>
              <w:marBottom w:val="0"/>
              <w:divBdr>
                <w:top w:val="none" w:sz="0" w:space="0" w:color="auto"/>
                <w:left w:val="none" w:sz="0" w:space="0" w:color="auto"/>
                <w:bottom w:val="none" w:sz="0" w:space="0" w:color="auto"/>
                <w:right w:val="none" w:sz="0" w:space="0" w:color="auto"/>
              </w:divBdr>
            </w:div>
            <w:div w:id="306207708">
              <w:marLeft w:val="0"/>
              <w:marRight w:val="0"/>
              <w:marTop w:val="0"/>
              <w:marBottom w:val="0"/>
              <w:divBdr>
                <w:top w:val="none" w:sz="0" w:space="0" w:color="auto"/>
                <w:left w:val="none" w:sz="0" w:space="0" w:color="auto"/>
                <w:bottom w:val="none" w:sz="0" w:space="0" w:color="auto"/>
                <w:right w:val="none" w:sz="0" w:space="0" w:color="auto"/>
              </w:divBdr>
            </w:div>
            <w:div w:id="932471667">
              <w:marLeft w:val="0"/>
              <w:marRight w:val="0"/>
              <w:marTop w:val="0"/>
              <w:marBottom w:val="0"/>
              <w:divBdr>
                <w:top w:val="none" w:sz="0" w:space="0" w:color="auto"/>
                <w:left w:val="none" w:sz="0" w:space="0" w:color="auto"/>
                <w:bottom w:val="none" w:sz="0" w:space="0" w:color="auto"/>
                <w:right w:val="none" w:sz="0" w:space="0" w:color="auto"/>
              </w:divBdr>
            </w:div>
            <w:div w:id="1199275152">
              <w:marLeft w:val="0"/>
              <w:marRight w:val="0"/>
              <w:marTop w:val="0"/>
              <w:marBottom w:val="0"/>
              <w:divBdr>
                <w:top w:val="none" w:sz="0" w:space="0" w:color="auto"/>
                <w:left w:val="none" w:sz="0" w:space="0" w:color="auto"/>
                <w:bottom w:val="none" w:sz="0" w:space="0" w:color="auto"/>
                <w:right w:val="none" w:sz="0" w:space="0" w:color="auto"/>
              </w:divBdr>
            </w:div>
            <w:div w:id="1278020795">
              <w:marLeft w:val="0"/>
              <w:marRight w:val="0"/>
              <w:marTop w:val="0"/>
              <w:marBottom w:val="0"/>
              <w:divBdr>
                <w:top w:val="none" w:sz="0" w:space="0" w:color="auto"/>
                <w:left w:val="none" w:sz="0" w:space="0" w:color="auto"/>
                <w:bottom w:val="none" w:sz="0" w:space="0" w:color="auto"/>
                <w:right w:val="none" w:sz="0" w:space="0" w:color="auto"/>
              </w:divBdr>
            </w:div>
            <w:div w:id="177786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581753">
      <w:bodyDiv w:val="1"/>
      <w:marLeft w:val="0"/>
      <w:marRight w:val="0"/>
      <w:marTop w:val="0"/>
      <w:marBottom w:val="0"/>
      <w:divBdr>
        <w:top w:val="none" w:sz="0" w:space="0" w:color="auto"/>
        <w:left w:val="none" w:sz="0" w:space="0" w:color="auto"/>
        <w:bottom w:val="none" w:sz="0" w:space="0" w:color="auto"/>
        <w:right w:val="none" w:sz="0" w:space="0" w:color="auto"/>
      </w:divBdr>
      <w:divsChild>
        <w:div w:id="15887274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oter" Target="foot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738E9D-279C-4B4D-B127-ACA7F8EB4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3</Pages>
  <Words>752</Words>
  <Characters>4419</Characters>
  <Application>Microsoft Macintosh Word</Application>
  <DocSecurity>0</DocSecurity>
  <Lines>116</Lines>
  <Paragraphs>45</Paragraphs>
  <ScaleCrop>false</ScaleCrop>
  <HeadingPairs>
    <vt:vector size="2" baseType="variant">
      <vt:variant>
        <vt:lpstr>Title</vt:lpstr>
      </vt:variant>
      <vt:variant>
        <vt:i4>1</vt:i4>
      </vt:variant>
    </vt:vector>
  </HeadingPairs>
  <TitlesOfParts>
    <vt:vector size="1" baseType="lpstr">
      <vt:lpstr/>
    </vt:vector>
  </TitlesOfParts>
  <Company>Cisco Systems</Company>
  <LinksUpToDate>false</LinksUpToDate>
  <CharactersWithSpaces>5126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Michele D. Guel</dc:creator>
  <cp:lastModifiedBy>Jacy York</cp:lastModifiedBy>
  <cp:revision>8</cp:revision>
  <dcterms:created xsi:type="dcterms:W3CDTF">2013-12-08T05:21:00Z</dcterms:created>
  <dcterms:modified xsi:type="dcterms:W3CDTF">2016-12-01T23:07:00Z</dcterms:modified>
</cp:coreProperties>
</file>