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2b25b0ef9f0f0b3543dbf041856ff0410162c0a"/>
    <w:p>
      <w:pPr>
        <w:pStyle w:val="Heading1"/>
      </w:pPr>
      <w:r>
        <w:t xml:space="preserve">scMINER Viewer: an offline, multi-study browser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two sibling packages (R, Python) that consume a shared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 metadata, cluster info, gene</w:t>
      </w:r>
      <w:r>
        <w:t xml:space="preserve"> </w:t>
      </w:r>
      <w:r>
        <w:t xml:space="preserve">indexes and TF/SIG networks live in a 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</w:t>
      </w:r>
      <w:r>
        <w:t xml:space="preserve"> </w:t>
      </w:r>
      <w:r>
        <w:t xml:space="preserve">(≈ 80 MB for an 8 K-cell study), while the underlying expression and</w:t>
      </w:r>
      <w:r>
        <w:t xml:space="preserve"> </w:t>
      </w:r>
      <w:r>
        <w:t xml:space="preserve">activity values stay on disk as gzipped per-gene shards and are decoded</w:t>
      </w:r>
      <w:r>
        <w:t xml:space="preserve"> </w:t>
      </w:r>
      <w:r>
        <w:t xml:space="preserve">on demand. Both packages serve a Shiny / Shiny-for-Python webui matching</w:t>
      </w:r>
      <w:r>
        <w:t xml:space="preserve"> </w:t>
      </w:r>
      <w:r>
        <w:t xml:space="preserve">the scMINER Portal layout, 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</w:t>
      </w:r>
      <w:r>
        <w:t xml:space="preserve"> </w:t>
      </w:r>
      <w:r>
        <w:t xml:space="preserve">On the 2327 Tex study (8 464 cells × 9 861 genes, 743 K network edges,</w:t>
      </w:r>
      <w:r>
        <w:t xml:space="preserve"> </w:t>
      </w:r>
      <w:r>
        <w:t xml:space="preserve">80.5 MB bundle), 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5 × 3 synthetic scaling sweep</w:t>
      </w:r>
      <w:r>
        <w:t xml:space="preserve"> </w:t>
      </w:r>
      <w:r>
        <w:t xml:space="preserve">(500 – 8 000 cells × 2 – 10 K genes), bundle size stays under 14 MB</w:t>
      </w:r>
      <w:r>
        <w:t xml:space="preserve"> </w:t>
      </w:r>
      <w:r>
        <w:t xml:space="preserve">while the underlying shard tree grows linearly to &gt; 80 MB. The bundle</w:t>
      </w:r>
      <w:r>
        <w:t xml:space="preserve"> </w:t>
      </w:r>
      <w:r>
        <w:t xml:space="preserve">format and lazy contract are formally documented; both packages reach</w:t>
      </w:r>
      <w:r>
        <w:t xml:space="preserve"> </w:t>
      </w:r>
      <w:r>
        <w:t xml:space="preserve">feature parity through 216 automated 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2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499262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992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26" w:name="benchmarks"/>
    <w:p>
      <w:pPr>
        <w:pStyle w:val="Heading2"/>
      </w:pPr>
      <w:r>
        <w:t xml:space="preserve">3 Benchmarks</w:t>
      </w:r>
    </w:p>
    <w:p>
      <w:pPr>
        <w:pStyle w:val="FirstParagraph"/>
      </w:pPr>
      <w:r>
        <w:t xml:space="preserve">Bundle scaling was measured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n_genes)</w:t>
      </w:r>
      <w:r>
        <w:t xml:space="preserve"> </w:t>
      </w:r>
      <w:r>
        <w:t xml:space="preserve">over a 5 × 3 grid covering</w:t>
      </w:r>
      <w:r>
        <w:t xml:space="preserve"> </w:t>
      </w:r>
      <w:r>
        <w:t xml:space="preserve">500 – 8 000 cells and 2 000 – 10 000 genes with 10 % expression</w:t>
      </w:r>
      <w:r>
        <w:t xml:space="preserve"> </w:t>
      </w:r>
      <w:r>
        <w:t xml:space="preserve">density and 4 clusters (Figure 1, panels A–C). The real 2327 (Tex)</w:t>
      </w:r>
      <w:r>
        <w:t xml:space="preserve"> </w:t>
      </w:r>
      <w:r>
        <w:t xml:space="preserve">study — 8 464 cells × 9 861 genes × 3 clusters, 9 861 expression</w:t>
      </w:r>
      <w:r>
        <w:t xml:space="preserve"> </w:t>
      </w:r>
      <w:r>
        <w:t xml:space="preserve">genes / 925 TF genes / 4 708 SIG genes indexed, 743 K total network</w:t>
      </w:r>
      <w:r>
        <w:t xml:space="preserve"> </w:t>
      </w:r>
      <w:r>
        <w:t xml:space="preserve">edges (429 516 TF + 314 348 SIG) — provides a full-featured reference.</w:t>
      </w:r>
      <w:r>
        <w:t xml:space="preserve"> </w:t>
      </w:r>
      <w:r>
        <w:t xml:space="preserve">Multi-study discovery was measured on 1, 2, 4, 8, 16, 32 synthetic</w:t>
      </w:r>
      <w:r>
        <w:t xml:space="preserve"> </w:t>
      </w:r>
      <w:r>
        <w:t xml:space="preserve">studies under a shared root (Figure 1, panel D).</w:t>
      </w:r>
    </w:p>
    <w:p>
      <w:pPr>
        <w:pStyle w:val="CaptionedFigure"/>
      </w:pPr>
      <w:r>
        <w:drawing>
          <wp:inline>
            <wp:extent cx="5334000" cy="6172200"/>
            <wp:effectExtent b="0" l="0" r="0" t="0"/>
            <wp:docPr descr="Figure 1" title="" id="24" name="Picture"/>
            <a:graphic>
              <a:graphicData uri="http://schemas.openxmlformats.org/drawingml/2006/picture">
                <pic:pic>
                  <pic:nvPicPr>
                    <pic:cNvPr descr="figures/figur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i/>
          <w:iCs/>
        </w:rPr>
        <w:t xml:space="preserve">scMINER Viewer performance.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 (solid)</w:t>
      </w:r>
      <w:r>
        <w:t xml:space="preserve"> </w:t>
      </w:r>
      <w:r>
        <w:t xml:space="preserve">versus the underlying shard-tree size (dashed) as a function of cell</w:t>
      </w:r>
      <w:r>
        <w:t xml:space="preserve"> </w:t>
      </w:r>
      <w:r>
        <w:t xml:space="preserve">count, faceted by gene count (2 K / 5 K / 10 K). Lazy-mode bundles</w:t>
      </w:r>
      <w:r>
        <w:t xml:space="preserve"> </w:t>
      </w:r>
      <w:r>
        <w:t xml:space="preserve">remain near-constant (~ 3 – 14 MB) while the shard tree grows</w:t>
      </w:r>
      <w:r>
        <w:t xml:space="preserve"> </w:t>
      </w:r>
      <w:r>
        <w:t xml:space="preserve">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sub-second.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(point) and worst-case in the per-gene sample (error bar</w:t>
      </w:r>
      <w:r>
        <w:t xml:space="preserve"> </w:t>
      </w:r>
      <w:r>
        <w:t xml:space="preserve">top); each shard read is a single gzipped 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 scales</w:t>
      </w:r>
      <w:r>
        <w:t xml:space="preserve"> </w:t>
      </w:r>
      <w:r>
        <w:t xml:space="preserve">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(Cell/, Gene/, Network_*/,</w:t>
      </w:r>
      <w:r>
        <w:t xml:space="preserve"> </w:t>
      </w:r>
      <w:r>
        <w:t xml:space="preserve">study_meta/,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 raw R</w:t>
      </w:r>
      <w:r>
        <w:t xml:space="preserve"> </w:t>
      </w:r>
      <w:r>
        <w:t xml:space="preserve">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 working-</w:t>
      </w:r>
      <w:r>
        <w:t xml:space="preserve"> </w:t>
      </w:r>
      <w:r>
        <w:t xml:space="preserve">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</w:t>
      </w:r>
      <w:r>
        <w:t xml:space="preserve"> </w:t>
      </w:r>
      <w:r>
        <w:t xml:space="preserve">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 the in-memory</w:t>
      </w:r>
      <w:r>
        <w:t xml:space="preserve"> </w:t>
      </w:r>
      <w:r>
        <w:t xml:space="preserve">sparse expression matrix. Generated by</w:t>
      </w:r>
      <w:r>
        <w:t xml:space="preserve"> </w:t>
      </w:r>
      <w:r>
        <w:rPr>
          <w:rStyle w:val="VerbatimChar"/>
        </w:rPr>
        <w:t xml:space="preserve">paper/figures.R</w:t>
      </w:r>
      <w:r>
        <w:t xml:space="preserve">; raw numbers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paper/metrics/*.tsv</w:t>
      </w:r>
      <w:r>
        <w:t xml:space="preserve">.</w:t>
      </w:r>
    </w:p>
    <w:bookmarkEnd w:id="26"/>
    <w:bookmarkStart w:id="27" w:name="results-and-discussion"/>
    <w:p>
      <w:pPr>
        <w:pStyle w:val="Heading2"/>
      </w:pPr>
      <w:r>
        <w:t xml:space="preserve">4 Results and discussion</w:t>
      </w:r>
    </w:p>
    <w:p>
      <w:pPr>
        <w:pStyle w:val="FirstParagraph"/>
      </w:pPr>
      <w:r>
        <w:t xml:space="preserve">The bundle stays small because matrix values are excluded: across the</w:t>
      </w:r>
      <w:r>
        <w:t xml:space="preserve"> </w:t>
      </w:r>
      <w:r>
        <w:t xml:space="preserve">synthetic sweep, bundle size ranges from 2.7 MB (500 cells × 2 K</w:t>
      </w:r>
      <w:r>
        <w:t xml:space="preserve"> </w:t>
      </w:r>
      <w:r>
        <w:t xml:space="preserve">genes) to 6.9 MB (4 K cells × 5 K genes) — barely sensitive to cell</w:t>
      </w:r>
      <w:r>
        <w:t xml:space="preserve"> </w:t>
      </w:r>
      <w:r>
        <w:t xml:space="preserve">count — while the shard tree it indexes grows linearly from 1.1 MB</w:t>
      </w:r>
      <w:r>
        <w:t xml:space="preserve"> </w:t>
      </w:r>
      <w:r>
        <w:t xml:space="preserve">to 21.5 MB (Figure 1A). For the real 2327 study the same pattern</w:t>
      </w:r>
      <w:r>
        <w:t xml:space="preserve"> </w:t>
      </w:r>
      <w:r>
        <w:t xml:space="preserve">holds: 76.8 MB bundle vs ≈ 1.2 GB of expression + activity shards.</w:t>
      </w:r>
      <w:r>
        <w:t xml:space="preserve"> </w:t>
      </w:r>
      <w:r>
        <w:t xml:space="preserve">Cold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latency stays sub-second across the synthetic sweep</w:t>
      </w:r>
      <w:r>
        <w:t xml:space="preserve"> </w:t>
      </w:r>
      <w:r>
        <w:t xml:space="preserve">(0.12 – 0.14 s; Figure 1B) and at 0.52 s on the full 2327 study;</w:t>
      </w:r>
      <w:r>
        <w:t xml:space="preserve"> </w:t>
      </w:r>
      <w:r>
        <w:t xml:space="preserve">median per-gene fetch latency stays at 15 – 23 ms (Figure 1C). The</w:t>
      </w:r>
      <w:r>
        <w:t xml:space="preserve"> </w:t>
      </w:r>
      <w:r>
        <w:t xml:space="preserve">multi-study</w:t>
      </w:r>
      <w:r>
        <w:t xml:space="preserve"> </w:t>
      </w:r>
      <w:r>
        <w:rPr>
          <w:rStyle w:val="VerbatimChar"/>
        </w:rPr>
        <w:t xml:space="preserve">discover_studies</w:t>
      </w:r>
      <w:r>
        <w:t xml:space="preserve"> </w:t>
      </w:r>
      <w:r>
        <w:t xml:space="preserve">scan scales linearly with the number of</w:t>
      </w:r>
      <w:r>
        <w:t xml:space="preserve"> </w:t>
      </w:r>
      <w:r>
        <w:t xml:space="preserve">studies (Figure 1D) — about 80 ms per study on commodity hardware.</w:t>
      </w:r>
    </w:p>
    <w:p>
      <w:pPr>
        <w:pStyle w:val="BodyText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1E): the synthetic sweep</w:t>
      </w:r>
      <w:r>
        <w:t xml:space="preserve"> </w:t>
      </w:r>
      <w:r>
        <w:t xml:space="preserve">ranges from 33 s (500 cells × 2 K genes) to 122 s (4 K cells × 5 K</w:t>
      </w:r>
      <w:r>
        <w:t xml:space="preserve"> </w:t>
      </w:r>
      <w:r>
        <w:t xml:space="preserve">genes),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 loop (one</w:t>
      </w:r>
      <w:r>
        <w:t xml:space="preserve"> </w:t>
      </w:r>
      <w:r>
        <w:t xml:space="preserve">gzip per gene). Peak R working-set memory stays bounded at</w:t>
      </w:r>
      <w:r>
        <w:t xml:space="preserve"> </w:t>
      </w:r>
      <w:r>
        <w:t xml:space="preserve">~ 260 – 320 MB across the sweep (Figure 1F), reflecting the in-memory</w:t>
      </w:r>
      <w:r>
        <w:t xml:space="preserve"> </w:t>
      </w:r>
      <w:r>
        <w:t xml:space="preserve">sparse expression matrix plus per-gene fwrite scratch buffers.</w:t>
      </w:r>
      <w:r>
        <w:t xml:space="preserve"> </w:t>
      </w:r>
      <w:r>
        <w:t xml:space="preserve">Because prepare is a one-shot operation, this cost is amortised across</w:t>
      </w:r>
      <w:r>
        <w:t xml:space="preserve"> </w:t>
      </w:r>
      <w:r>
        <w:t xml:space="preserve">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27"/>
    <w:bookmarkStart w:id="2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28"/>
    <w:bookmarkStart w:id="29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p>
      <w:pPr>
        <w:pStyle w:val="Compact"/>
        <w:numPr>
          <w:ilvl w:val="0"/>
          <w:numId w:val="1002"/>
        </w:numPr>
      </w:pPr>
      <w:r>
        <w:t xml:space="preserve">Wei T. (2024) ggsci: Scientific Journal and Sci-Fi Themed Color</w:t>
      </w:r>
      <w:r>
        <w:t xml:space="preserve"> </w:t>
      </w:r>
      <w:r>
        <w:t xml:space="preserve">Palettes for ggplot2. CRAN.</w:t>
      </w:r>
    </w:p>
    <w:p>
      <w:pPr>
        <w:pStyle w:val="Compact"/>
        <w:numPr>
          <w:ilvl w:val="0"/>
          <w:numId w:val="1002"/>
        </w:numPr>
      </w:pPr>
      <w:r>
        <w:t xml:space="preserve">Chang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 Application Framework for R.</w:t>
      </w:r>
      <w:r>
        <w:t xml:space="preserve"> </w:t>
      </w:r>
      <w:r>
        <w:t xml:space="preserve">CRAN.</w:t>
      </w:r>
    </w:p>
    <w:p>
      <w:pPr>
        <w:pStyle w:val="Compact"/>
        <w:numPr>
          <w:ilvl w:val="0"/>
          <w:numId w:val="1002"/>
        </w:numPr>
      </w:pPr>
      <w:r>
        <w:t xml:space="preserve">Posit, PBC. (2024) Shiny for Python.</w:t>
      </w:r>
      <w:r>
        <w:t xml:space="preserve"> </w:t>
      </w:r>
      <w:hyperlink r:id="rId30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HDF5 Group. (2023) HDF5 / hdf5r.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3" Target="media/rId23.png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30" Target="https://shiny.posit.co/p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30" Target="https://shiny.posit.co/p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2026-05-15T02:20:42Z</dcterms:created>
  <dcterms:modified xsi:type="dcterms:W3CDTF">2026-05-15T02:20:42Z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