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df" ContentType="application/pdf"/>
  <Override PartName="/word/media/rId25.pdf" ContentType="application/pdf"/>
  <Override PartName="/word/media/rId28.pdf" ContentType="application/pdf"/>
  <Override PartName="/word/media/rId31.pdf" ContentType="application/pdf"/>
  <Override PartName="/word/media/rId34.pdf" ContentType="application/pdf"/>
  <Override PartName="/word/media/rId37.pdf" ContentType="application/pdf"/>
  <Override PartName="/word/media/rId40.pdf" ContentType="application/pdf"/>
  <Override PartName="/word/media/rId43.pdf" ContentType="application/pdf"/>
  <Override PartName="/word/media/rId46.pdf" ContentType="application/pdf"/>
  <Override PartName="/word/media/rId49.pdf" ContentType="application/pdf"/>
  <Override PartName="/word/media/rId52.pdf" ContentType="application/pdf"/>
  <Override PartName="/word/media/rId55.pdf" ContentType="application/pdf"/>
  <Override PartName="/word/media/rId58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2b25b0ef9f0f0b3543dbf041856ff0410162c0a"/>
    <w:p>
      <w:pPr>
        <w:pStyle w:val="Heading1"/>
      </w:pPr>
      <w:r>
        <w:t xml:space="preserve">scMINER Viewer: an offline, multi-study browser for single-cell mutual-information networks</w:t>
      </w:r>
    </w:p>
    <w:p>
      <w:pPr>
        <w:pStyle w:val="FirstParagraph"/>
      </w:pPr>
      <w:r>
        <w:rPr>
          <w:i/>
          <w:iCs/>
        </w:rPr>
        <w:t xml:space="preserve">Honglei Zhou¹</w:t>
      </w:r>
      <w:r>
        <w:t xml:space="preserve">, xxx, xxx, xxx, …,</w:t>
      </w:r>
      <w:r>
        <w:t xml:space="preserve"> </w:t>
      </w:r>
      <w:r>
        <w:rPr>
          <w:i/>
          <w:iCs/>
        </w:rPr>
        <w:t xml:space="preserve">Jiyang Yu</w:t>
      </w:r>
      <w:r>
        <w:t xml:space="preserve">¹*</w:t>
      </w:r>
    </w:p>
    <w:p>
      <w:pPr>
        <w:pStyle w:val="BodyText"/>
      </w:pPr>
      <w:r>
        <w:t xml:space="preserve">¹ Department of Computational Biology, St. Jude Children’s Research Hospital, Memphis, TN 38105, USA.</w:t>
      </w:r>
    </w:p>
    <w:p>
      <w:pPr>
        <w:pStyle w:val="BodyText"/>
      </w:pPr>
      <w:r>
        <w:t xml:space="preserve">* To whom correspondence should be addressed.</w:t>
      </w:r>
    </w:p>
    <w:p>
      <w:r>
        <w:pict>
          <v:rect style="width:0;height:1.5pt" o:hralign="center" o:hrstd="t" o:hr="t"/>
        </w:pict>
      </w:r>
    </w:p>
    <w:bookmarkStart w:id="1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scMINER (Pan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Nat. Commun.</w:t>
      </w:r>
      <w:r>
        <w:t xml:space="preserve"> </w:t>
      </w:r>
      <w:r>
        <w:t xml:space="preserve">16:4305, 2025) is a</w:t>
      </w:r>
      <w:r>
        <w:t xml:space="preserve"> </w:t>
      </w:r>
      <w:r>
        <w:t xml:space="preserve">mutual-information-based framework for cell clustering, cell-type-specific</w:t>
      </w:r>
      <w:r>
        <w:t xml:space="preserve"> </w:t>
      </w:r>
      <w:r>
        <w:t xml:space="preserve">transcription-factor / signalling-protein network inference, and hidden-driver</w:t>
      </w:r>
      <w:r>
        <w:t xml:space="preserve"> </w:t>
      </w:r>
      <w:r>
        <w:t xml:space="preserve">identification from single-cell transcriptomic data. Its companion portal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https://scminer.stjude.org</w:t>
        </w:r>
      </w:hyperlink>
      <w:r>
        <w:t xml:space="preserve">) provides interactive visualisation but</w:t>
      </w:r>
      <w:r>
        <w:t xml:space="preserve"> </w:t>
      </w:r>
      <w:r>
        <w:t xml:space="preserve">assumes always-on network access and centralised hosting — which is</w:t>
      </w:r>
      <w:r>
        <w:t xml:space="preserve"> </w:t>
      </w:r>
      <w:r>
        <w:t xml:space="preserve">incompatible with sensitive datasets, air-gapped HPC clusters, and</w:t>
      </w:r>
      <w:r>
        <w:t xml:space="preserve"> </w:t>
      </w:r>
      <w:r>
        <w:t xml:space="preserve">multi-study labs that want a local source of truth. We present</w:t>
      </w:r>
      <w:r>
        <w:t xml:space="preserve"> </w:t>
      </w:r>
      <w:r>
        <w:rPr>
          <w:b/>
          <w:bCs/>
        </w:rPr>
        <w:t xml:space="preserve">scMINER</w:t>
      </w:r>
      <w:r>
        <w:rPr>
          <w:b/>
          <w:bCs/>
        </w:rPr>
        <w:t xml:space="preserve"> </w:t>
      </w:r>
      <w:r>
        <w:rPr>
          <w:b/>
          <w:bCs/>
        </w:rPr>
        <w:t xml:space="preserve">Viewer</w:t>
      </w:r>
      <w:r>
        <w:t xml:space="preserve">, two sibling packages (R, Python) that consume a shared</w:t>
      </w:r>
      <w:r>
        <w:t xml:space="preserve"> </w:t>
      </w:r>
      <w:r>
        <w:rPr>
          <w:b/>
          <w:bCs/>
        </w:rPr>
        <w:t xml:space="preserve">lazy-mode HDF5 study bundle</w:t>
      </w:r>
      <w:r>
        <w:t xml:space="preserve">: per-study metadata, cluster info, gene</w:t>
      </w:r>
      <w:r>
        <w:t xml:space="preserve"> </w:t>
      </w:r>
      <w:r>
        <w:t xml:space="preserve">indexes and TF/SIG networks live in a single</w:t>
      </w:r>
      <w:r>
        <w:t xml:space="preserve"> </w:t>
      </w:r>
      <w:r>
        <w:rPr>
          <w:rStyle w:val="VerbatimChar"/>
        </w:rPr>
        <w:t xml:space="preserve">.scminer.h5</w:t>
      </w:r>
      <w:r>
        <w:t xml:space="preserve"> </w:t>
      </w:r>
      <w:r>
        <w:t xml:space="preserve">file</w:t>
      </w:r>
      <w:r>
        <w:t xml:space="preserve"> </w:t>
      </w:r>
      <w:r>
        <w:t xml:space="preserve">(≈ 80 MB for an 8 K-cell study), while the underlying expression and</w:t>
      </w:r>
      <w:r>
        <w:t xml:space="preserve"> </w:t>
      </w:r>
      <w:r>
        <w:t xml:space="preserve">activity values stay on disk as gzipped per-gene shards and are decoded</w:t>
      </w:r>
      <w:r>
        <w:t xml:space="preserve"> </w:t>
      </w:r>
      <w:r>
        <w:t xml:space="preserve">on demand. Both packages serve a Shiny / Shiny-for-Python webui matching</w:t>
      </w:r>
      <w:r>
        <w:t xml:space="preserve"> </w:t>
      </w:r>
      <w:r>
        <w:t xml:space="preserve">the scMINER Portal layout, plus a card-grid</w:t>
      </w:r>
      <w:r>
        <w:t xml:space="preserve"> </w:t>
      </w:r>
      <w:r>
        <w:rPr>
          <w:b/>
          <w:bCs/>
        </w:rPr>
        <w:t xml:space="preserve">multi-study browser</w:t>
      </w:r>
      <w:r>
        <w:t xml:space="preserve">.</w:t>
      </w:r>
      <w:r>
        <w:t xml:space="preserve"> </w:t>
      </w:r>
      <w:r>
        <w:t xml:space="preserve">On the 2327 Tex study (8 464 cells × 9 861 genes, 743 K network edges,</w:t>
      </w:r>
      <w:r>
        <w:t xml:space="preserve"> </w:t>
      </w:r>
      <w:r>
        <w:t xml:space="preserve">80.5 MB bundle), median per-gene fetch latency is 32 ms and cold-start</w:t>
      </w:r>
      <w:r>
        <w:t xml:space="preserve"> </w:t>
      </w:r>
      <w:r>
        <w:rPr>
          <w:rStyle w:val="VerbatimChar"/>
        </w:rPr>
        <w:t xml:space="preserve">load_study</w:t>
      </w:r>
      <w:r>
        <w:t xml:space="preserve"> </w:t>
      </w:r>
      <w:r>
        <w:t xml:space="preserve">0.59 s. Across a 5 × 3 synthetic scaling sweep</w:t>
      </w:r>
      <w:r>
        <w:t xml:space="preserve"> </w:t>
      </w:r>
      <w:r>
        <w:t xml:space="preserve">(500 – 8 000 cells × 2 – 10 K genes), bundle size stays under 14 MB</w:t>
      </w:r>
      <w:r>
        <w:t xml:space="preserve"> </w:t>
      </w:r>
      <w:r>
        <w:t xml:space="preserve">while the underlying shard tree grows linearly to &gt; 80 MB. The bundle</w:t>
      </w:r>
      <w:r>
        <w:t xml:space="preserve"> </w:t>
      </w:r>
      <w:r>
        <w:t xml:space="preserve">format and lazy contract are formally documented; both packages reach</w:t>
      </w:r>
      <w:r>
        <w:t xml:space="preserve"> </w:t>
      </w:r>
      <w:r>
        <w:t xml:space="preserve">feature parity through 216 automated tests (194 R + 22 Python).</w:t>
      </w:r>
    </w:p>
    <w:p>
      <w:pPr>
        <w:pStyle w:val="BodyText"/>
      </w:pPr>
      <w:r>
        <w:rPr>
          <w:b/>
          <w:bCs/>
        </w:rPr>
        <w:t xml:space="preserve">Availability and implementation</w:t>
      </w:r>
      <w:r>
        <w:t xml:space="preserve">: R package at</w:t>
      </w:r>
      <w:r>
        <w:t xml:space="preserve"> </w:t>
      </w:r>
      <w:r>
        <w:rPr>
          <w:rStyle w:val="VerbatimChar"/>
        </w:rPr>
        <w:t xml:space="preserve">scminerViewer/</w:t>
      </w:r>
      <w:r>
        <w:t xml:space="preserve">; Python package (</w:t>
      </w:r>
      <w:r>
        <w:rPr>
          <w:rStyle w:val="VerbatimChar"/>
        </w:rPr>
        <w:t xml:space="preserve">pip install scminer-viewer</w:t>
      </w:r>
      <w:r>
        <w:t xml:space="preserve">) at</w:t>
      </w:r>
      <w:r>
        <w:t xml:space="preserve"> </w:t>
      </w:r>
      <w:r>
        <w:rPr>
          <w:rStyle w:val="VerbatimChar"/>
        </w:rPr>
        <w:t xml:space="preserve">scminer_viewer/</w:t>
      </w:r>
      <w:r>
        <w:t xml:space="preserve">. Apache-2.0–licensed. Source, bookdown user guide, and</w:t>
      </w:r>
      <w:r>
        <w:t xml:space="preserve"> </w:t>
      </w:r>
      <w:r>
        <w:t xml:space="preserve">reproducible benchmarks at</w:t>
      </w:r>
      <w:r>
        <w:t xml:space="preserve"> </w:t>
      </w:r>
      <w:hyperlink r:id="rId10">
        <w:r>
          <w:rPr>
            <w:rStyle w:val="Hyperlink"/>
          </w:rPr>
          <w:t xml:space="preserve">https://github.com/jyyulab/scMINER-Viewer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Correspondance</w:t>
      </w:r>
      <w:r>
        <w:t xml:space="preserve">: jiyang.yu@stjude.org</w:t>
      </w:r>
    </w:p>
    <w:p>
      <w:pPr>
        <w:pStyle w:val="BodyText"/>
      </w:pPr>
      <w:r>
        <w:rPr>
          <w:b/>
          <w:bCs/>
        </w:rPr>
        <w:t xml:space="preserve">Supplementary information</w:t>
      </w:r>
      <w:r>
        <w:t xml:space="preserve">: Available at</w:t>
      </w:r>
      <w:r>
        <w:t xml:space="preserve"> </w:t>
      </w:r>
      <w:hyperlink r:id="rId10">
        <w:r>
          <w:rPr>
            <w:rStyle w:val="Hyperlink"/>
          </w:rPr>
          <w:t xml:space="preserve">scMINER-Viewer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scMINER (Pan</w:t>
      </w:r>
      <w:r>
        <w:t xml:space="preserve"> </w:t>
      </w:r>
      <w:r>
        <w:rPr>
          <w:i/>
          <w:iCs/>
        </w:rPr>
        <w:t xml:space="preserve">et al.</w:t>
      </w:r>
      <w:r>
        <w:t xml:space="preserve">, 2025) is a mutual-information–based framework</w:t>
      </w:r>
      <w:r>
        <w:t xml:space="preserve"> </w:t>
      </w:r>
      <w:r>
        <w:t xml:space="preserve">that simultaneously addresses two long-standing problems in single-cell</w:t>
      </w:r>
      <w:r>
        <w:t xml:space="preserve"> </w:t>
      </w:r>
      <w:r>
        <w:t xml:space="preserve">transcriptomic analysis: accurate clustering (MICA — Mutual</w:t>
      </w:r>
      <w:r>
        <w:t xml:space="preserve"> </w:t>
      </w:r>
      <w:r>
        <w:t xml:space="preserve">Information-based Clustering Analysis) and cell-type-specific gene</w:t>
      </w:r>
      <w:r>
        <w:t xml:space="preserve"> </w:t>
      </w:r>
      <w:r>
        <w:t xml:space="preserve">regulatory network inference (a re-parameterised SJARACNe; Khatamian</w:t>
      </w:r>
      <w:r>
        <w:t xml:space="preserve"> </w:t>
      </w:r>
      <w:r>
        <w:rPr>
          <w:i/>
          <w:iCs/>
        </w:rPr>
        <w:t xml:space="preserve">et al.</w:t>
      </w:r>
      <w:r>
        <w:t xml:space="preserve">, 2019). The framework’s outputs include UMAP coordinates, per-</w:t>
      </w:r>
      <w:r>
        <w:t xml:space="preserve"> </w:t>
      </w:r>
      <w:r>
        <w:t xml:space="preserve">cluster transcription-factor (TF) and signalling-protein (SIG) network</w:t>
      </w:r>
      <w:r>
        <w:t xml:space="preserve"> </w:t>
      </w:r>
      <w:r>
        <w:t xml:space="preserve">edges, and hidden-driver activity profiles. These artefacts are</w:t>
      </w:r>
      <w:r>
        <w:t xml:space="preserve"> </w:t>
      </w:r>
      <w:r>
        <w:t xml:space="preserve">typically browsed through the scMINER Portal — an interactive web</w:t>
      </w:r>
      <w:r>
        <w:t xml:space="preserve"> </w:t>
      </w:r>
      <w:r>
        <w:t xml:space="preserve">application backed by a Neo4j graph database — at</w:t>
      </w:r>
      <w:r>
        <w:t xml:space="preserve"> </w:t>
      </w:r>
      <w:hyperlink r:id="rId9">
        <w:r>
          <w:rPr>
            <w:rStyle w:val="Hyperlink"/>
          </w:rPr>
          <w:t xml:space="preserve">https://scminer.stjude.org</w:t>
        </w:r>
      </w:hyperlink>
      <w:r>
        <w:t xml:space="preserve">.</w:t>
      </w:r>
    </w:p>
    <w:p>
      <w:pPr>
        <w:pStyle w:val="BodyText"/>
      </w:pPr>
      <w:r>
        <w:t xml:space="preserve">While the portal works well as a public, curated, view-only resource,</w:t>
      </w:r>
      <w:r>
        <w:t xml:space="preserve"> </w:t>
      </w:r>
      <w:r>
        <w:t xml:space="preserve">three practical scenarios it does not serve are: (i) sensitive or</w:t>
      </w:r>
      <w:r>
        <w:t xml:space="preserve"> </w:t>
      </w:r>
      <w:r>
        <w:t xml:space="preserve">embargoed datasets that must remain on-premises, (ii) HPC clusters and</w:t>
      </w:r>
      <w:r>
        <w:t xml:space="preserve"> </w:t>
      </w:r>
      <w:r>
        <w:t xml:space="preserve">laptops without network access, and (iii) labs running many in-house</w:t>
      </w:r>
      <w:r>
        <w:t xml:space="preserve"> </w:t>
      </w:r>
      <w:r>
        <w:t xml:space="preserve">studies who want to launch a local browser over an arbitrary collection</w:t>
      </w:r>
      <w:r>
        <w:t xml:space="preserve"> </w:t>
      </w:r>
      <w:r>
        <w:t xml:space="preserve">of bundles. Existing Shiny-style scRNA-seq browsers</w:t>
      </w:r>
      <w:r>
        <w:t xml:space="preserve"> </w:t>
      </w:r>
      <w:r>
        <w:t xml:space="preserve">(</w:t>
      </w:r>
      <w:r>
        <w:rPr>
          <w:i/>
          <w:iCs/>
        </w:rPr>
        <w:t xml:space="preserve">e.g.</w:t>
      </w:r>
      <w:r>
        <w:t xml:space="preserve"> </w:t>
      </w:r>
      <w:r>
        <w:t xml:space="preserve">ShinyCell, cellxgene) cannot natively render scMINER’s</w:t>
      </w:r>
      <w:r>
        <w:t xml:space="preserve"> </w:t>
      </w:r>
      <w:r>
        <w:t xml:space="preserve">cell-type-specific TF / SIG networks or hidden-driver activity matrices.</w:t>
      </w:r>
    </w:p>
    <w:p>
      <w:pPr>
        <w:pStyle w:val="BodyText"/>
      </w:pPr>
      <w:r>
        <w:t xml:space="preserve">We present</w:t>
      </w:r>
      <w:r>
        <w:t xml:space="preserve"> </w:t>
      </w:r>
      <w:r>
        <w:rPr>
          <w:b/>
          <w:bCs/>
        </w:rPr>
        <w:t xml:space="preserve">scMINER Viewer</w:t>
      </w:r>
      <w:r>
        <w:t xml:space="preserve">, a pair of installable packages — one R,</w:t>
      </w:r>
      <w:r>
        <w:t xml:space="preserve"> </w:t>
      </w:r>
      <w:r>
        <w:t xml:space="preserve">one Python — that consume a shared lazy-mode HDF5 study bundle and serve</w:t>
      </w:r>
      <w:r>
        <w:t xml:space="preserve"> </w:t>
      </w:r>
      <w:r>
        <w:t xml:space="preserve">a Shiny webui that mirrors the scMINER Portal layout. Bundles are</w:t>
      </w:r>
      <w:r>
        <w:t xml:space="preserve"> </w:t>
      </w:r>
      <w:r>
        <w:t xml:space="preserve">typically ~ 80 MB for an 8 K-cell study and contain no matrix values;</w:t>
      </w:r>
      <w:r>
        <w:t xml:space="preserve"> </w:t>
      </w:r>
      <w:r>
        <w:t xml:space="preserve">the per-gene gzipped CSV shards stay on disk and are streamed on demand.</w:t>
      </w:r>
      <w:r>
        <w:t xml:space="preserve"> </w:t>
      </w:r>
      <w:r>
        <w:t xml:space="preserve">A second top-level</w:t>
      </w:r>
      <w:r>
        <w:t xml:space="preserve"> </w:t>
      </w:r>
      <w:r>
        <w:rPr>
          <w:b/>
          <w:bCs/>
        </w:rPr>
        <w:t xml:space="preserve">multi-study browser</w:t>
      </w:r>
      <w:r>
        <w:t xml:space="preserve"> </w:t>
      </w:r>
      <w:r>
        <w:t xml:space="preserve">scans a root directory for</w:t>
      </w:r>
      <w:r>
        <w:t xml:space="preserve"> </w:t>
      </w:r>
      <w:r>
        <w:rPr>
          <w:rStyle w:val="VerbatimChar"/>
        </w:rPr>
        <w:t xml:space="preserve">&lt;studyID&gt;/&lt;studyID&gt;.scminer.h5</w:t>
      </w:r>
      <w:r>
        <w:t xml:space="preserve"> </w:t>
      </w:r>
      <w:r>
        <w:t xml:space="preserve">patterns and presents every study as a</w:t>
      </w:r>
      <w:r>
        <w:t xml:space="preserve"> </w:t>
      </w:r>
      <w:r>
        <w:t xml:space="preserve">card.</w:t>
      </w:r>
    </w:p>
    <w:bookmarkEnd w:id="12"/>
    <w:bookmarkStart w:id="22" w:name="implementation"/>
    <w:p>
      <w:pPr>
        <w:pStyle w:val="Heading2"/>
      </w:pPr>
      <w:r>
        <w:t xml:space="preserve">2 Implementation</w:t>
      </w:r>
    </w:p>
    <w:bookmarkStart w:id="16" w:name="architecture"/>
    <w:p>
      <w:pPr>
        <w:pStyle w:val="Heading3"/>
      </w:pPr>
      <w:r>
        <w:t xml:space="preserve">2.1 Architecture</w:t>
      </w:r>
    </w:p>
    <w:p>
      <w:pPr>
        <w:pStyle w:val="FirstParagraph"/>
      </w:pPr>
      <w:r>
        <w:t xml:space="preserve">Figure 1 summarises the dataflow. A single</w:t>
      </w:r>
      <w:r>
        <w:t xml:space="preserve"> </w:t>
      </w:r>
      <w:r>
        <w:rPr>
          <w:rStyle w:val="VerbatimChar"/>
        </w:rPr>
        <w:t xml:space="preserve">prepare_study()</w:t>
      </w:r>
      <w:r>
        <w:t xml:space="preserve"> </w:t>
      </w:r>
      <w:r>
        <w:t xml:space="preserve">call</w:t>
      </w:r>
      <w:r>
        <w:t xml:space="preserve"> </w:t>
      </w:r>
      <w:r>
        <w:t xml:space="preserve">consumes per-study raw inputs and writes a</w:t>
      </w:r>
      <w:r>
        <w:t xml:space="preserve"> </w:t>
      </w:r>
      <w:r>
        <w:rPr>
          <w:i/>
          <w:iCs/>
        </w:rPr>
        <w:t xml:space="preserve">shared lazy artifact</w:t>
      </w:r>
      <w:r>
        <w:t xml:space="preserve"> </w:t>
      </w:r>
      <w:r>
        <w:t xml:space="preserve">—</w:t>
      </w:r>
      <w:r>
        <w:t xml:space="preserve"> </w:t>
      </w:r>
      <w:r>
        <w:t xml:space="preserve">one HDF5 bundle plus a per-gene gzipped shard tree. Two sibling</w:t>
      </w:r>
      <w:r>
        <w:t xml:space="preserve"> </w:t>
      </w:r>
      <w:r>
        <w:t xml:space="preserve">consumer packages (R</w:t>
      </w:r>
      <w:r>
        <w:t xml:space="preserve"> </w:t>
      </w:r>
      <w:r>
        <w:rPr>
          <w:rStyle w:val="VerbatimChar"/>
        </w:rPr>
        <w:t xml:space="preserve">scminerViewer</w:t>
      </w:r>
      <w:r>
        <w:t xml:space="preserve">, Python</w:t>
      </w:r>
      <w:r>
        <w:t xml:space="preserve"> </w:t>
      </w:r>
      <w:r>
        <w:rPr>
          <w:rStyle w:val="VerbatimChar"/>
        </w:rPr>
        <w:t xml:space="preserve">scminer_viewer</w:t>
      </w:r>
      <w:r>
        <w:t xml:space="preserve">) read</w:t>
      </w:r>
      <w:r>
        <w:t xml:space="preserve"> </w:t>
      </w:r>
      <w:r>
        <w:t xml:space="preserve">the same artifact through identical</w:t>
      </w:r>
      <w:r>
        <w:t xml:space="preserve"> </w:t>
      </w:r>
      <w:r>
        <w:rPr>
          <w:rStyle w:val="VerbatimChar"/>
        </w:rPr>
        <w:t xml:space="preserve">load_study()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gene_values()</w:t>
      </w:r>
      <w:r>
        <w:t xml:space="preserve"> </w:t>
      </w:r>
      <w:r>
        <w:t xml:space="preserve">interfaces, each driving its own webui (Shiny vs Shiny-for-Python).</w:t>
      </w:r>
      <w:r>
        <w:t xml:space="preserve"> </w:t>
      </w:r>
      <w:r>
        <w:t xml:space="preserve">A multi-study browser layered on</w:t>
      </w:r>
      <w:r>
        <w:t xml:space="preserve"> </w:t>
      </w:r>
      <w:r>
        <w:rPr>
          <w:rStyle w:val="VerbatimChar"/>
        </w:rPr>
        <w:t xml:space="preserve">discover_studies()</w:t>
      </w:r>
      <w:r>
        <w:t xml:space="preserve"> </w:t>
      </w:r>
      <w:r>
        <w:t xml:space="preserve">walks a root</w:t>
      </w:r>
      <w:r>
        <w:t xml:space="preserve"> </w:t>
      </w:r>
      <w:r>
        <w:t xml:space="preserve">directory and serves every bundle as a card.</w:t>
      </w:r>
    </w:p>
    <w:p>
      <w:pPr>
        <w:pStyle w:val="BodyText"/>
      </w:pPr>
      <w:r>
        <w:drawing>
          <wp:inline>
            <wp:extent cx="4160520" cy="554736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igures/architecture.pdf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5547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scMINER Viewer architecture.</w:t>
      </w:r>
      <w:r>
        <w:t xml:space="preserve"> </w:t>
      </w:r>
      <w:r>
        <w:rPr>
          <w:rStyle w:val="VerbatimChar"/>
        </w:rPr>
        <w:t xml:space="preserve">prepare_study()</w:t>
      </w:r>
      <w:r>
        <w:t xml:space="preserve"> </w:t>
      </w:r>
      <w:r>
        <w:t xml:space="preserve">(R, scminerViewer) is the only writer — it accepts a YAML config and</w:t>
      </w:r>
      <w:r>
        <w:t xml:space="preserve"> </w:t>
      </w:r>
      <w:r>
        <w:t xml:space="preserve">a Biobase ExpressionSet for expression + activity matrices, plus the</w:t>
      </w:r>
      <w:r>
        <w:t xml:space="preserve"> </w:t>
      </w:r>
      <w:r>
        <w:t xml:space="preserve">SJARACNe networks TSV, and emits the shared lazy artifact. The</w:t>
      </w:r>
      <w:r>
        <w:t xml:space="preserve"> </w:t>
      </w:r>
      <w:r>
        <w:t xml:space="preserve">artifact is portable across operating systems and language runtimes:</w:t>
      </w:r>
      <w:r>
        <w:t xml:space="preserve"> </w:t>
      </w:r>
      <w:r>
        <w:t xml:space="preserve">both the R viewer (</w:t>
      </w:r>
      <w:r>
        <w:rPr>
          <w:rStyle w:val="VerbatimChar"/>
        </w:rPr>
        <w:t xml:space="preserve">scminerViewer::run_app</w:t>
      </w:r>
      <w:r>
        <w:t xml:space="preserve">) and the Python viewer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scminer_viewer.run_app</w:t>
      </w:r>
      <w:r>
        <w:t xml:space="preserve">) load the same</w:t>
      </w:r>
      <w:r>
        <w:t xml:space="preserve"> </w:t>
      </w:r>
      <w:r>
        <w:rPr>
          <w:rStyle w:val="VerbatimChar"/>
        </w:rPr>
        <w:t xml:space="preserve">.scminer.h5</w:t>
      </w:r>
      <w:r>
        <w:t xml:space="preserve"> </w:t>
      </w:r>
      <w:r>
        <w:t xml:space="preserve">and read the</w:t>
      </w:r>
      <w:r>
        <w:t xml:space="preserve"> </w:t>
      </w:r>
      <w:r>
        <w:t xml:space="preserve">same per-gene shards, with feature parity enforced by 216 automated</w:t>
      </w:r>
      <w:r>
        <w:t xml:space="preserve"> </w:t>
      </w:r>
      <w:r>
        <w:t xml:space="preserve">tests (194 R + 22 Python). The multi-study browsers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run_browser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scminer-viewer browse &lt;root&gt;</w:t>
      </w:r>
      <w:r>
        <w:t xml:space="preserve">) overlay a card grid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discover_studies()</w:t>
      </w:r>
      <w:r>
        <w:t xml:space="preserve">, which scans for</w:t>
      </w:r>
      <w:r>
        <w:t xml:space="preserve"> </w:t>
      </w:r>
      <w:r>
        <w:rPr>
          <w:rStyle w:val="VerbatimChar"/>
        </w:rPr>
        <w:t xml:space="preserve">&lt;studyID&gt;/&lt;studyID&gt;.scminer.h5</w:t>
      </w:r>
      <w:r>
        <w:t xml:space="preserve"> </w:t>
      </w:r>
      <w:r>
        <w:t xml:space="preserve">patterns and lists each bundle’s metadata — preserving the lazy</w:t>
      </w:r>
      <w:r>
        <w:t xml:space="preserve"> </w:t>
      </w:r>
      <w:r>
        <w:t xml:space="preserve">contract since matrix indexes are read only on click-through.</w:t>
      </w:r>
    </w:p>
    <w:bookmarkEnd w:id="16"/>
    <w:bookmarkStart w:id="17" w:name="bundle-format-r-python-contract"/>
    <w:p>
      <w:pPr>
        <w:pStyle w:val="Heading3"/>
      </w:pPr>
      <w:r>
        <w:t xml:space="preserve">2.2 Bundle format (R / Python contract)</w:t>
      </w:r>
    </w:p>
    <w:p>
      <w:pPr>
        <w:pStyle w:val="FirstParagraph"/>
      </w:pPr>
      <w:r>
        <w:t xml:space="preserve">A single HDF5 file (</w:t>
      </w:r>
      <w:r>
        <w:rPr>
          <w:rStyle w:val="VerbatimChar"/>
        </w:rPr>
        <w:t xml:space="preserve">bundleVersion = 1</w:t>
      </w:r>
      <w:r>
        <w:t xml:space="preserve">) carrying: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meta/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studyID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studyAbbr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coordinate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bundleVersion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cells/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cellID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coord1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clusters/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cellType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(hex),</w:t>
      </w:r>
      <w:r>
        <w:t xml:space="preserve"> </w:t>
      </w:r>
      <w:r>
        <w:rPr>
          <w:rStyle w:val="VerbatimChar"/>
        </w:rPr>
        <w:t xml:space="preserve">label_1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label_2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genes/symbol</w:t>
      </w:r>
      <w:r>
        <w:t xml:space="preserve"> </w:t>
      </w:r>
      <w:r>
        <w:t xml:space="preserve">— master gene list (picker dropdown).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index/{expression, activity_tf, activity_sig}</w:t>
      </w:r>
      <w:r>
        <w:t xml:space="preserve"> </w:t>
      </w:r>
      <w:r>
        <w:t xml:space="preserve">— gene symbols with</w:t>
      </w:r>
      <w:r>
        <w:t xml:space="preserve"> </w:t>
      </w:r>
      <w:r>
        <w:t xml:space="preserve">shards in each matrix; optional, absent if the matrix is not part of</w:t>
      </w:r>
      <w:r>
        <w:t xml:space="preserve"> </w:t>
      </w:r>
      <w:r>
        <w:t xml:space="preserve">the study.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defaults/genes</w:t>
      </w:r>
      <w:r>
        <w:t xml:space="preserve"> </w:t>
      </w:r>
      <w:r>
        <w:t xml:space="preserve">— optional; genes the app pre-selects on launch</w:t>
      </w:r>
      <w:r>
        <w:t xml:space="preserve"> </w:t>
      </w:r>
      <w:r>
        <w:t xml:space="preserve">(mirrors the Vue portal’s</w:t>
      </w:r>
      <w:r>
        <w:t xml:space="preserve"> </w:t>
      </w:r>
      <w:r>
        <w:rPr>
          <w:rStyle w:val="VerbatimChar"/>
        </w:rPr>
        <w:t xml:space="preserve">preGenes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network_tf/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network_sig/</w:t>
      </w:r>
      <w:r>
        <w:t xml:space="preserve"> </w:t>
      </w:r>
      <w:r>
        <w:t xml:space="preserve">— edge tables.</w:t>
      </w:r>
    </w:p>
    <w:p>
      <w:pPr>
        <w:pStyle w:val="FirstParagraph"/>
      </w:pPr>
      <w:r>
        <w:t xml:space="preserve">Strings are UTF-8. Both packages tolerate missing optional groups and</w:t>
      </w:r>
      <w:r>
        <w:t xml:space="preserve"> </w:t>
      </w:r>
      <w:r>
        <w:t xml:space="preserve">ignore unknown groups (forward compatibility).</w:t>
      </w:r>
    </w:p>
    <w:bookmarkEnd w:id="17"/>
    <w:bookmarkStart w:id="18" w:name="sharded-matrix-tree"/>
    <w:p>
      <w:pPr>
        <w:pStyle w:val="Heading3"/>
      </w:pPr>
      <w:r>
        <w:t xml:space="preserve">2.3 Sharded matrix tree</w:t>
      </w:r>
    </w:p>
    <w:p>
      <w:pPr>
        <w:pStyle w:val="FirstParagraph"/>
      </w:pPr>
      <w:r>
        <w:t xml:space="preserve">Expression and activity values live alongside each bundle as gzipped</w:t>
      </w:r>
      <w:r>
        <w:t xml:space="preserve"> </w:t>
      </w:r>
      <w:r>
        <w:t xml:space="preserve">per-gene CSVs, sharded by the first lower-case letter of each gene</w:t>
      </w:r>
      <w:r>
        <w:t xml:space="preserve"> </w:t>
      </w:r>
      <w:r>
        <w:t xml:space="preserve">symbol (or</w:t>
      </w:r>
      <w:r>
        <w:t xml:space="preserve"> </w:t>
      </w:r>
      <w:r>
        <w:rPr>
          <w:rStyle w:val="VerbatimChar"/>
        </w:rPr>
        <w:t xml:space="preserve">nm</w:t>
      </w:r>
      <w:r>
        <w:t xml:space="preserve"> </w:t>
      </w:r>
      <w:r>
        <w:t xml:space="preserve">for non-alphabetic first chars):</w:t>
      </w:r>
    </w:p>
    <w:p>
      <w:pPr>
        <w:pStyle w:val="SourceCode"/>
      </w:pPr>
      <w:r>
        <w:rPr>
          <w:rStyle w:val="VerbatimChar"/>
        </w:rPr>
        <w:t xml:space="preserve">&lt;root&gt;/&lt;studyID&gt;/</w:t>
      </w:r>
      <w:r>
        <w:br/>
      </w:r>
      <w:r>
        <w:rPr>
          <w:rStyle w:val="VerbatimChar"/>
        </w:rPr>
        <w:t xml:space="preserve">├── &lt;studyID&gt;.scminer.h5</w:t>
      </w:r>
      <w:r>
        <w:br/>
      </w:r>
      <w:r>
        <w:rPr>
          <w:rStyle w:val="VerbatimChar"/>
        </w:rPr>
        <w:t xml:space="preserve">├── expression_files/&lt;studyID&gt;/{meta.csv, &lt;letter&gt;/&lt;gene&gt;.csv.gz}</w:t>
      </w:r>
      <w:r>
        <w:br/>
      </w:r>
      <w:r>
        <w:rPr>
          <w:rStyle w:val="VerbatimChar"/>
        </w:rPr>
        <w:t xml:space="preserve">└── activity_files/&lt;studyID&gt;/{meta.csv, TF/&lt;letter&gt;/..., SIG/&lt;letter&gt;/...}</w:t>
      </w:r>
    </w:p>
    <w:p>
      <w:pPr>
        <w:pStyle w:val="FirstParagraph"/>
      </w:pPr>
      <w:r>
        <w:t xml:space="preserve">Cell-ID column order is read once per matrix from</w:t>
      </w:r>
      <w:r>
        <w:t xml:space="preserve"> </w:t>
      </w:r>
      <w:r>
        <w:rPr>
          <w:rStyle w:val="VerbatimChar"/>
        </w:rPr>
        <w:t xml:space="preserve">meta.csv</w:t>
      </w:r>
      <w:r>
        <w:t xml:space="preserve">; a</w:t>
      </w:r>
      <w:r>
        <w:t xml:space="preserve"> </w:t>
      </w:r>
      <w:r>
        <w:t xml:space="preserve">permutation index aligns each shard’s columns to the bundle’s</w:t>
      </w:r>
      <w:r>
        <w:t xml:space="preserve"> </w:t>
      </w:r>
      <w:r>
        <w:rPr>
          <w:rStyle w:val="VerbatimChar"/>
        </w:rPr>
        <w:t xml:space="preserve">cells/cellID</w:t>
      </w:r>
      <w:r>
        <w:t xml:space="preserve">, so missing cells (activity is computed only on a</w:t>
      </w:r>
      <w:r>
        <w:t xml:space="preserve"> </w:t>
      </w:r>
      <w:r>
        <w:t xml:space="preserve">subset) become zero columns automatically.</w:t>
      </w:r>
    </w:p>
    <w:bookmarkEnd w:id="18"/>
    <w:bookmarkStart w:id="19" w:name="two-packages-one-contract"/>
    <w:p>
      <w:pPr>
        <w:pStyle w:val="Heading3"/>
      </w:pPr>
      <w:r>
        <w:t xml:space="preserve">2.4 Two packages, one contract</w:t>
      </w:r>
    </w:p>
    <w:p>
      <w:pPr>
        <w:pStyle w:val="FirstParagraph"/>
      </w:pPr>
      <w:r>
        <w:t xml:space="preserve">The R package (</w:t>
      </w:r>
      <w:r>
        <w:rPr>
          <w:rStyle w:val="VerbatimChar"/>
        </w:rPr>
        <w:t xml:space="preserve">scminerViewer</w:t>
      </w:r>
      <w:r>
        <w:t xml:space="preserve">) owns data preparation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prepare_study(config_path)</w:t>
      </w:r>
      <w:r>
        <w:t xml:space="preserve"> </w:t>
      </w:r>
      <w:r>
        <w:t xml:space="preserve">reads a YAML config + scMINER</w:t>
      </w:r>
      <w:r>
        <w:t xml:space="preserve"> </w:t>
      </w:r>
      <w:r>
        <w:t xml:space="preserve">ExpressionSet RDS files and writes both the graph-import layout and the</w:t>
      </w:r>
      <w:r>
        <w:t xml:space="preserve"> </w:t>
      </w:r>
      <w:r>
        <w:t xml:space="preserve">bundle) and serves both the single-study viewer and the multi-study</w:t>
      </w:r>
      <w:r>
        <w:t xml:space="preserve"> </w:t>
      </w:r>
      <w:r>
        <w:t xml:space="preserve">browser. The Python package (</w:t>
      </w:r>
      <w:r>
        <w:rPr>
          <w:rStyle w:val="VerbatimChar"/>
        </w:rPr>
        <w:t xml:space="preserve">scminer_viewer</w:t>
      </w:r>
      <w:r>
        <w:t xml:space="preserve">) reads the same bundle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Study</w:t>
      </w:r>
      <w:r>
        <w:t xml:space="preserve"> </w:t>
      </w:r>
      <w:r>
        <w:t xml:space="preserve">dataclass and serves an equivalent Shiny-for-Python webui</w:t>
      </w:r>
      <w:r>
        <w:t xml:space="preserve"> </w:t>
      </w:r>
      <w:r>
        <w:t xml:space="preserve">plus its own multi-study browser. Both implementations expose</w:t>
      </w:r>
      <w:r>
        <w:t xml:space="preserve"> </w:t>
      </w:r>
      <w:r>
        <w:rPr>
          <w:rStyle w:val="VerbatimChar"/>
        </w:rPr>
        <w:t xml:space="preserve">gene_values(study, gene, relationship)</w:t>
      </w:r>
      <w:r>
        <w:t xml:space="preserve"> </w:t>
      </w:r>
      <w:r>
        <w:t xml:space="preserve">— the only public hook into</w:t>
      </w:r>
      <w:r>
        <w:t xml:space="preserve"> </w:t>
      </w:r>
      <w:r>
        <w:t xml:space="preserve">the shard tree — with per-gene LRU caching.</w:t>
      </w:r>
    </w:p>
    <w:bookmarkEnd w:id="19"/>
    <w:bookmarkStart w:id="20" w:name="multi-study-browser"/>
    <w:p>
      <w:pPr>
        <w:pStyle w:val="Heading3"/>
      </w:pPr>
      <w:r>
        <w:t xml:space="preserve">2.5 Multi-study browser</w:t>
      </w:r>
    </w:p>
    <w:p>
      <w:pPr>
        <w:pStyle w:val="FirstParagraph"/>
      </w:pPr>
      <w:r>
        <w:rPr>
          <w:rStyle w:val="VerbatimChar"/>
        </w:rPr>
        <w:t xml:space="preserve">run_browser(root_dir)</w:t>
      </w:r>
      <w:r>
        <w:t xml:space="preserve"> </w:t>
      </w:r>
      <w:r>
        <w:t xml:space="preserve">(R) and</w:t>
      </w:r>
      <w:r>
        <w:t xml:space="preserve"> </w:t>
      </w:r>
      <w:r>
        <w:rPr>
          <w:rStyle w:val="VerbatimChar"/>
        </w:rPr>
        <w:t xml:space="preserve">scminer-viewer browse &lt;root_dir&gt;</w:t>
      </w:r>
      <w:r>
        <w:t xml:space="preserve"> </w:t>
      </w:r>
      <w:r>
        <w:t xml:space="preserve">(Python) discover every</w:t>
      </w:r>
      <w:r>
        <w:t xml:space="preserve"> </w:t>
      </w:r>
      <w:r>
        <w:rPr>
          <w:rStyle w:val="VerbatimChar"/>
        </w:rPr>
        <w:t xml:space="preserve">&lt;studyID&gt;/&lt;studyID&gt;.scminer.h5</w:t>
      </w:r>
      <w:r>
        <w:t xml:space="preserve"> </w:t>
      </w:r>
      <w:r>
        <w:t xml:space="preserve">pattern under</w:t>
      </w:r>
      <w:r>
        <w:t xml:space="preserve"> </w:t>
      </w:r>
      <w:r>
        <w:t xml:space="preserve">the root and serve a card-grid landing page. Clicking a card opens the</w:t>
      </w:r>
      <w:r>
        <w:t xml:space="preserve"> </w:t>
      </w:r>
      <w:r>
        <w:t xml:space="preserve">standard single-study viewer with a</w:t>
      </w:r>
      <w:r>
        <w:t xml:space="preserve"> </w:t>
      </w:r>
      <w:r>
        <w:t xml:space="preserve">“Back to studies”</w:t>
      </w:r>
      <w:r>
        <w:t xml:space="preserve"> </w:t>
      </w:r>
      <w:r>
        <w:t xml:space="preserve">link. The</w:t>
      </w:r>
      <w:r>
        <w:t xml:space="preserve"> </w:t>
      </w:r>
      <w:r>
        <w:t xml:space="preserve">browser pre-loads metadata only (not matrix indexes), so listing N</w:t>
      </w:r>
      <w:r>
        <w:t xml:space="preserve"> </w:t>
      </w:r>
      <w:r>
        <w:t xml:space="preserve">studies costs O(N) lightweight HDF5 reads regardless of total study</w:t>
      </w:r>
      <w:r>
        <w:t xml:space="preserve"> </w:t>
      </w:r>
      <w:r>
        <w:t xml:space="preserve">size.</w:t>
      </w:r>
    </w:p>
    <w:bookmarkEnd w:id="20"/>
    <w:bookmarkStart w:id="21" w:name="configurable-cluster-metadata"/>
    <w:p>
      <w:pPr>
        <w:pStyle w:val="Heading3"/>
      </w:pPr>
      <w:r>
        <w:t xml:space="preserve">2.6 Configurable cluster metadata</w:t>
      </w:r>
    </w:p>
    <w:p>
      <w:pPr>
        <w:pStyle w:val="FirstParagraph"/>
      </w:pPr>
      <w:r>
        <w:rPr>
          <w:rStyle w:val="VerbatimChar"/>
        </w:rPr>
        <w:t xml:space="preserve">prepare_study()</w:t>
      </w:r>
      <w:r>
        <w:t xml:space="preserve"> </w:t>
      </w:r>
      <w:r>
        <w:t xml:space="preserve">auto-fills cluster colours and label positions for the</w:t>
      </w:r>
      <w:r>
        <w:t xml:space="preserve"> </w:t>
      </w:r>
      <w:r>
        <w:rPr>
          <w:rStyle w:val="VerbatimChar"/>
        </w:rPr>
        <w:t xml:space="preserve">study_meta.csv</w:t>
      </w:r>
      <w:r>
        <w:t xml:space="preserve"> </w:t>
      </w:r>
      <w:r>
        <w:t xml:space="preserve">whenever they are not supplied. Colours come from any</w:t>
      </w:r>
      <w:r>
        <w:t xml:space="preserve"> </w:t>
      </w:r>
      <w:r>
        <w:t xml:space="preserve">ggsci palette (Wei, 2024) — default Nature Publishing Group (NPG) —</w:t>
      </w:r>
      <w:r>
        <w:t xml:space="preserve"> </w:t>
      </w:r>
      <w:r>
        <w:t xml:space="preserve">configurable via the YAML’s</w:t>
      </w:r>
      <w:r>
        <w:t xml:space="preserve"> </w:t>
      </w:r>
      <w:r>
        <w:rPr>
          <w:rStyle w:val="VerbatimChar"/>
        </w:rPr>
        <w:t xml:space="preserve">cluster_palette</w:t>
      </w:r>
      <w:r>
        <w:t xml:space="preserve"> </w:t>
      </w:r>
      <w:r>
        <w:t xml:space="preserve">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npg, aaas, lancet, nejm, jama, jco, ucscgb, d3, locuszoom, igv, uchicago, startrek, tron, futurama, rickandmorty, simpsons</w:t>
      </w:r>
      <w:r>
        <w:t xml:space="preserve">). Label</w:t>
      </w:r>
      <w:r>
        <w:t xml:space="preserve"> </w:t>
      </w:r>
      <w:r>
        <w:t xml:space="preserve">positions are per-cluster centroids:</w:t>
      </w:r>
      <w:r>
        <w:t xml:space="preserve"> </w:t>
      </w:r>
      <w:r>
        <w:rPr>
          <w:rStyle w:val="VerbatimChar"/>
        </w:rPr>
        <w:t xml:space="preserve">mean(coord1)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mean(coord2)</w:t>
      </w:r>
      <w:r>
        <w:t xml:space="preserve"> </w:t>
      </w:r>
      <w:r>
        <w:t xml:space="preserve">over the cells in each cluster.</w:t>
      </w:r>
    </w:p>
    <w:bookmarkEnd w:id="21"/>
    <w:bookmarkEnd w:id="22"/>
    <w:bookmarkStart w:id="62" w:name="benchmarks"/>
    <w:p>
      <w:pPr>
        <w:pStyle w:val="Heading2"/>
      </w:pPr>
      <w:r>
        <w:t xml:space="preserve">3 Benchmarks</w:t>
      </w:r>
    </w:p>
    <w:bookmarkStart w:id="23" w:name="bundle-scaling"/>
    <w:p>
      <w:pPr>
        <w:pStyle w:val="Heading3"/>
      </w:pPr>
      <w:r>
        <w:t xml:space="preserve">3.1 Bundle scaling</w:t>
      </w:r>
    </w:p>
    <w:p>
      <w:pPr>
        <w:pStyle w:val="FirstParagraph"/>
      </w:pPr>
      <w:r>
        <w:rPr>
          <w:i/>
          <w:iCs/>
        </w:rPr>
        <w:t xml:space="preserve">Bundle scaling</w:t>
      </w:r>
      <w:r>
        <w:t xml:space="preserve"> </w:t>
      </w:r>
      <w:r>
        <w:t xml:space="preserve">measures the marginal cost of the lazy artefact as</w:t>
      </w:r>
      <w:r>
        <w:t xml:space="preserve"> </w:t>
      </w:r>
      <w:r>
        <w:t xml:space="preserve">the input shape grows. We benchmark four end-to-end primitives —</w:t>
      </w:r>
      <w:r>
        <w:t xml:space="preserve"> </w:t>
      </w:r>
      <w:r>
        <w:rPr>
          <w:rStyle w:val="VerbatimChar"/>
        </w:rPr>
        <w:t xml:space="preserve">prepare_study_data()</w:t>
      </w:r>
      <w:r>
        <w:t xml:space="preserve"> </w:t>
      </w:r>
      <w:r>
        <w:t xml:space="preserve">(write the bundle + shard tree),</w:t>
      </w:r>
      <w:r>
        <w:t xml:space="preserve"> </w:t>
      </w:r>
      <w:r>
        <w:rPr>
          <w:rStyle w:val="VerbatimChar"/>
        </w:rPr>
        <w:t xml:space="preserve">load_study()</w:t>
      </w:r>
      <w:r>
        <w:t xml:space="preserve"> </w:t>
      </w:r>
      <w:r>
        <w:t xml:space="preserve">(cold-start a study),</w:t>
      </w:r>
      <w:r>
        <w:t xml:space="preserve"> </w:t>
      </w:r>
      <w:r>
        <w:rPr>
          <w:rStyle w:val="VerbatimChar"/>
        </w:rPr>
        <w:t xml:space="preserve">gene_values()</w:t>
      </w:r>
      <w:r>
        <w:t xml:space="preserve"> </w:t>
      </w:r>
      <w:r>
        <w:t xml:space="preserve">(lazy per-gene fetch), and the</w:t>
      </w:r>
      <w:r>
        <w:t xml:space="preserve"> </w:t>
      </w:r>
      <w:r>
        <w:t xml:space="preserve">on-disk sizes of both the</w:t>
      </w:r>
      <w:r>
        <w:t xml:space="preserve"> </w:t>
      </w:r>
      <w:r>
        <w:rPr>
          <w:rStyle w:val="VerbatimChar"/>
        </w:rPr>
        <w:t xml:space="preserve">.scminer.h5</w:t>
      </w:r>
      <w:r>
        <w:t xml:space="preserve"> </w:t>
      </w:r>
      <w:r>
        <w:t xml:space="preserve">bundle and the</w:t>
      </w:r>
      <w:r>
        <w:t xml:space="preserve"> </w:t>
      </w:r>
      <w:r>
        <w:rPr>
          <w:rStyle w:val="VerbatimChar"/>
        </w:rPr>
        <w:t xml:space="preserve">expression_files/</w:t>
      </w:r>
      <w:r>
        <w:t xml:space="preserve"> </w:t>
      </w:r>
      <w:r>
        <w:t xml:space="preserve">shard tree — on synthetic studies generated by</w:t>
      </w:r>
      <w:r>
        <w:t xml:space="preserve"> </w:t>
      </w:r>
      <w:r>
        <w:rPr>
          <w:rStyle w:val="VerbatimChar"/>
        </w:rPr>
        <w:t xml:space="preserve">make_synthetic_study(n_cells, n_genes, n_clusters = 4, density = 0.10)</w:t>
      </w:r>
      <w:r>
        <w:t xml:space="preserve">.</w:t>
      </w:r>
      <w:r>
        <w:t xml:space="preserve"> </w:t>
      </w:r>
      <w:r>
        <w:t xml:space="preserve">The synthetic generator draws expression values from a sparse Bernoulli</w:t>
      </w:r>
      <w:r>
        <w:t xml:space="preserve"> </w:t>
      </w:r>
      <w:r>
        <w:t xml:space="preserve">distribution at the prescribed density, so the resulting matrices</w:t>
      </w:r>
      <w:r>
        <w:t xml:space="preserve"> </w:t>
      </w:r>
      <w:r>
        <w:t xml:space="preserve">match the size and sparsity of typical normalised scRNA-seq counts</w:t>
      </w:r>
      <w:r>
        <w:t xml:space="preserve"> </w:t>
      </w:r>
      <w:r>
        <w:t xml:space="preserve">without depending on a particular biological dataset.</w:t>
      </w:r>
    </w:p>
    <w:p>
      <w:pPr>
        <w:pStyle w:val="BodyText"/>
      </w:pPr>
      <w:r>
        <w:t xml:space="preserve">We sweep a 7 × 4 grid of shapes —</w:t>
      </w:r>
      <w:r>
        <w:t xml:space="preserve"> </w:t>
      </w:r>
      <w:r>
        <w:rPr>
          <w:rStyle w:val="VerbatimChar"/>
        </w:rPr>
        <w:t xml:space="preserve">n_cells ∈ {500, 1 000, 2 000, 4 000, 6 000, 8 000, 10 000}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n_genes ∈ {2 000, 5 000, 8 000, 10 000}</w:t>
      </w:r>
      <w:r>
        <w:t xml:space="preserve"> </w:t>
      </w:r>
      <w:r>
        <w:t xml:space="preserve">— yielding 28 configurations. Each configuration is rerun</w:t>
      </w:r>
      <w:r>
        <w:t xml:space="preserve"> </w:t>
      </w:r>
      <w:r>
        <w:rPr>
          <w:b/>
          <w:bCs/>
        </w:rPr>
        <w:t xml:space="preserve">N = 5</w:t>
      </w:r>
      <w:r>
        <w:t xml:space="preserve"> </w:t>
      </w:r>
      <w:r>
        <w:t xml:space="preserve">times with independent random seeds; figure 2 reports</w:t>
      </w:r>
      <w:r>
        <w:t xml:space="preserve"> </w:t>
      </w:r>
      <w:r>
        <w:t xml:space="preserve">means ± standard error across the five replicates, and the raw per-rep</w:t>
      </w:r>
      <w:r>
        <w:t xml:space="preserve"> </w:t>
      </w:r>
      <w:r>
        <w:t xml:space="preserve">metrics are persisted at</w:t>
      </w:r>
      <w:r>
        <w:t xml:space="preserve"> </w:t>
      </w:r>
      <w:r>
        <w:rPr>
          <w:rStyle w:val="VerbatimChar"/>
        </w:rPr>
        <w:t xml:space="preserve">paper/metrics/bundle_scaling.tsv</w:t>
      </w:r>
      <w:r>
        <w:t xml:space="preserve"> </w:t>
      </w:r>
      <w:r>
        <w:t xml:space="preserve">(140</w:t>
      </w:r>
      <w:r>
        <w:t xml:space="preserve"> </w:t>
      </w:r>
      <w:r>
        <w:t xml:space="preserve">rows). The full-featured real 2327 (Tex) study — 8 464 cells × 9 861</w:t>
      </w:r>
      <w:r>
        <w:t xml:space="preserve"> </w:t>
      </w:r>
      <w:r>
        <w:t xml:space="preserve">genes × 3 clusters, 9 861 expression genes / 925 TF genes / 4 708</w:t>
      </w:r>
      <w:r>
        <w:t xml:space="preserve"> </w:t>
      </w:r>
      <w:r>
        <w:t xml:space="preserve">SIG genes indexed, 743 K total network edges (429 516 TF + 314 348</w:t>
      </w:r>
      <w:r>
        <w:t xml:space="preserve"> </w:t>
      </w:r>
      <w:r>
        <w:t xml:space="preserve">SIG) — provides a real-data anchor; its single-run metrics live at</w:t>
      </w:r>
      <w:r>
        <w:t xml:space="preserve"> </w:t>
      </w:r>
      <w:r>
        <w:rPr>
          <w:rStyle w:val="VerbatimChar"/>
        </w:rPr>
        <w:t xml:space="preserve">paper/metrics/real_study.tsv</w:t>
      </w:r>
      <w:r>
        <w:t xml:space="preserve">.</w:t>
      </w:r>
    </w:p>
    <w:bookmarkEnd w:id="23"/>
    <w:bookmarkStart w:id="24" w:name="multi-study-discovery-scaling"/>
    <w:p>
      <w:pPr>
        <w:pStyle w:val="Heading3"/>
      </w:pPr>
      <w:r>
        <w:t xml:space="preserve">3.2 Multi-study discovery scaling</w:t>
      </w:r>
    </w:p>
    <w:p>
      <w:pPr>
        <w:pStyle w:val="FirstParagraph"/>
      </w:pPr>
      <w:r>
        <w:rPr>
          <w:i/>
          <w:iCs/>
        </w:rPr>
        <w:t xml:space="preserve">Discover scaling</w:t>
      </w:r>
      <w:r>
        <w:t xml:space="preserve"> </w:t>
      </w:r>
      <w:r>
        <w:t xml:space="preserve">measures</w:t>
      </w:r>
      <w:r>
        <w:t xml:space="preserve"> </w:t>
      </w:r>
      <w:r>
        <w:rPr>
          <w:rStyle w:val="VerbatimChar"/>
        </w:rPr>
        <w:t xml:space="preserve">discover_studies(root_dir)</w:t>
      </w:r>
      <w:r>
        <w:t xml:space="preserve">, the</w:t>
      </w:r>
      <w:r>
        <w:t xml:space="preserve"> </w:t>
      </w:r>
      <w:r>
        <w:t xml:space="preserve">file-system scan that turns a directory of</w:t>
      </w:r>
      <w:r>
        <w:t xml:space="preserve"> </w:t>
      </w:r>
      <w:r>
        <w:rPr>
          <w:rStyle w:val="VerbatimChar"/>
        </w:rPr>
        <w:t xml:space="preserve">&lt;studyID&gt;/&lt;studyID&gt;.scminer.h5</w:t>
      </w:r>
      <w:r>
        <w:t xml:space="preserve"> </w:t>
      </w:r>
      <w:r>
        <w:t xml:space="preserve">trees into a card-grid index for the multi-study browser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run_browser()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scminer-viewer browse</w:t>
      </w:r>
      <w:r>
        <w:t xml:space="preserve"> </w:t>
      </w:r>
      <w:r>
        <w:t xml:space="preserve">in Python). The</w:t>
      </w:r>
      <w:r>
        <w:t xml:space="preserve"> </w:t>
      </w:r>
      <w:r>
        <w:t xml:space="preserve">benchmark builds 1, 2, 4, 8, 16, and 32 lightweight synthetic studies</w:t>
      </w:r>
      <w:r>
        <w:t xml:space="preserve"> </w:t>
      </w:r>
      <w:r>
        <w:t xml:space="preserve">(200 cells × 500 genes each) under a single root, then times</w:t>
      </w:r>
      <w:r>
        <w:t xml:space="preserve"> </w:t>
      </w:r>
      <w:r>
        <w:rPr>
          <w:rStyle w:val="VerbatimChar"/>
        </w:rPr>
        <w:t xml:space="preserve">discover_studies()</w:t>
      </w:r>
      <w:r>
        <w:t xml:space="preserve"> </w:t>
      </w:r>
      <w:r>
        <w:t xml:space="preserve">end-to-end. Like the bundle sweep, each cell of</w:t>
      </w:r>
      <w:r>
        <w:t xml:space="preserve"> </w:t>
      </w:r>
      <w:r>
        <w:t xml:space="preserve">the grid runs five times with independent seeds (6 × 5 = 30 rows in</w:t>
      </w:r>
      <w:r>
        <w:t xml:space="preserve"> </w:t>
      </w:r>
      <w:r>
        <w:rPr>
          <w:rStyle w:val="VerbatimChar"/>
        </w:rPr>
        <w:t xml:space="preserve">paper/metrics/discover_scaling.tsv</w:t>
      </w:r>
      <w:r>
        <w:t xml:space="preserve">); figure 2D plots mean ± SE.</w:t>
      </w:r>
      <w:r>
        <w:t xml:space="preserve"> </w:t>
      </w:r>
      <w:r>
        <w:t xml:space="preserve">Because the browser only reads per-study metadata (no matrix indexes),</w:t>
      </w:r>
      <w:r>
        <w:t xml:space="preserve"> </w:t>
      </w:r>
      <w:r>
        <w:t xml:space="preserve">the test isolates the linear file-system scan from any data decoding.</w:t>
      </w:r>
    </w:p>
    <w:bookmarkEnd w:id="24"/>
    <w:bookmarkStart w:id="61" w:name="real-portal-study-sweep"/>
    <w:p>
      <w:pPr>
        <w:pStyle w:val="Heading3"/>
      </w:pPr>
      <w:r>
        <w:t xml:space="preserve">3.3 Real portal study sweep</w:t>
      </w:r>
    </w:p>
    <w:p>
      <w:pPr>
        <w:pStyle w:val="FirstParagraph"/>
      </w:pPr>
      <w:r>
        <w:t xml:space="preserve">Beyond the single 2327 anchor we ran the same end-to-end pipeline</w:t>
      </w:r>
      <w:r>
        <w:t xml:space="preserve"> </w:t>
      </w:r>
      <w:r>
        <w:t xml:space="preserve">against the</w:t>
      </w:r>
      <w:r>
        <w:t xml:space="preserve"> </w:t>
      </w:r>
      <w:r>
        <w:rPr>
          <w:b/>
          <w:bCs/>
        </w:rPr>
        <w:t xml:space="preserve">27 public studies hosted on the live scMINER Portal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https://scminer.stjude.org</w:t>
        </w:r>
      </w:hyperlink>
      <w:r>
        <w:t xml:space="preserve">). The studies span four orders of</w:t>
      </w:r>
      <w:r>
        <w:t xml:space="preserve"> </w:t>
      </w:r>
      <w:r>
        <w:t xml:space="preserve">magnitude in scale — from 124-cell ground-truth fixtures (Buettner,</w:t>
      </w:r>
      <w:r>
        <w:t xml:space="preserve"> </w:t>
      </w:r>
      <w:r>
        <w:t xml:space="preserve">Chung, Klein, …) to a 138 268-cell × 18 274-gene ATRT cohort</w:t>
      </w:r>
      <w:r>
        <w:t xml:space="preserve"> </w:t>
      </w:r>
      <w:r>
        <w:t xml:space="preserve">(study 2333) — and include the full mix of expression-only and</w:t>
      </w:r>
      <w:r>
        <w:t xml:space="preserve"> </w:t>
      </w:r>
      <w:r>
        <w:t xml:space="preserve">expression-plus-activity-plus-networks inputs. Each study is declared</w:t>
      </w:r>
      <w:r>
        <w:t xml:space="preserve"> </w:t>
      </w:r>
      <w:r>
        <w:t xml:space="preserve">by a small YAML config (</w:t>
      </w:r>
      <w:r>
        <w:rPr>
          <w:rStyle w:val="VerbatimChar"/>
        </w:rPr>
        <w:t xml:space="preserve">paper/configs/&lt;studyID&gt;.yaml</w:t>
      </w:r>
      <w:r>
        <w:t xml:space="preserve">) that points</w:t>
      </w:r>
      <w:r>
        <w:t xml:space="preserve"> </w:t>
      </w:r>
      <w:r>
        <w:t xml:space="preserve">at the HPC paths of</w:t>
      </w:r>
      <w:r>
        <w:t xml:space="preserve"> </w:t>
      </w:r>
      <w:r>
        <w:rPr>
          <w:rStyle w:val="VerbatimChar"/>
        </w:rPr>
        <w:t xml:space="preserve">expression.rds</w:t>
      </w:r>
      <w:r>
        <w:t xml:space="preserve"> </w:t>
      </w:r>
      <w:r>
        <w:t xml:space="preserve">(Biobase</w:t>
      </w:r>
      <w:r>
        <w:t xml:space="preserve"> </w:t>
      </w:r>
      <w:r>
        <w:rPr>
          <w:rStyle w:val="VerbatimChar"/>
        </w:rPr>
        <w:t xml:space="preserve">ExpressionSet</w:t>
      </w:r>
      <w:r>
        <w:t xml:space="preserve">),</w:t>
      </w:r>
      <w:r>
        <w:t xml:space="preserve"> </w:t>
      </w:r>
      <w:r>
        <w:rPr>
          <w:rStyle w:val="VerbatimChar"/>
        </w:rPr>
        <w:t xml:space="preserve">activity.rds</w:t>
      </w:r>
      <w:r>
        <w:t xml:space="preserve"> </w:t>
      </w:r>
      <w:r>
        <w:t xml:space="preserve">(TF + SIG-labelled</w:t>
      </w:r>
      <w:r>
        <w:t xml:space="preserve"> </w:t>
      </w:r>
      <w:r>
        <w:rPr>
          <w:rStyle w:val="VerbatimChar"/>
        </w:rPr>
        <w:t xml:space="preserve">ExpressionSet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networks.txt</w:t>
      </w:r>
      <w:r>
        <w:t xml:space="preserve"> </w:t>
      </w:r>
      <w:r>
        <w:t xml:space="preserve">(SJARACNe TSV); the YAML also names the column</w:t>
      </w:r>
      <w:r>
        <w:t xml:space="preserve"> </w:t>
      </w:r>
      <w:r>
        <w:t xml:space="preserve">conventions used inside that study’s</w:t>
      </w:r>
      <w:r>
        <w:t xml:space="preserve"> </w:t>
      </w:r>
      <w:r>
        <w:rPr>
          <w:rStyle w:val="VerbatimChar"/>
        </w:rPr>
        <w:t xml:space="preserve">pData()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cellID: CellID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cellType: CellGroup</w:t>
      </w:r>
      <w:r>
        <w:t xml:space="preserve">). The benchmark driver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paper/portal/portal_studies_hpc.sh</w:t>
      </w:r>
      <w:r>
        <w:t xml:space="preserve">) submits one bsub task per</w:t>
      </w:r>
      <w:r>
        <w:t xml:space="preserve"> </w:t>
      </w:r>
      <w:r>
        <w:t xml:space="preserve">YAML — distributed across multiple LSF queues — and writes the same</w:t>
      </w:r>
      <w:r>
        <w:t xml:space="preserve"> </w:t>
      </w:r>
      <w:r>
        <w:t xml:space="preserve">metric columns we used for the synthetic sweep, augmented with input</w:t>
      </w:r>
      <w:r>
        <w:t xml:space="preserve"> </w:t>
      </w:r>
      <w:r>
        <w:t xml:space="preserve">file sizes (</w:t>
      </w:r>
      <w:r>
        <w:rPr>
          <w:rStyle w:val="VerbatimChar"/>
        </w:rPr>
        <w:t xml:space="preserve">expr_input_bytes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act_input_bytes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net_input_bytes</w:t>
      </w:r>
      <w:r>
        <w:t xml:space="preserve">)</w:t>
      </w:r>
      <w:r>
        <w:t xml:space="preserve"> </w:t>
      </w:r>
      <w:r>
        <w:t xml:space="preserve">and the per-study output dir on shared storage. Per-study TSVs at</w:t>
      </w:r>
      <w:r>
        <w:t xml:space="preserve"> </w:t>
      </w:r>
      <w:r>
        <w:rPr>
          <w:rStyle w:val="VerbatimChar"/>
        </w:rPr>
        <w:t xml:space="preserve">paper/metrics/portal_studies_&lt;id&gt;.tsv</w:t>
      </w:r>
      <w:r>
        <w:t xml:space="preserve"> </w:t>
      </w:r>
      <w:r>
        <w:t xml:space="preserve">are merged into</w:t>
      </w:r>
      <w:r>
        <w:t xml:space="preserve"> </w:t>
      </w:r>
      <w:r>
        <w:rPr>
          <w:rStyle w:val="VerbatimChar"/>
        </w:rPr>
        <w:t xml:space="preserve">paper/metrics/portal_studies.tsv</w:t>
      </w:r>
      <w:r>
        <w:t xml:space="preserve"> </w:t>
      </w:r>
      <w:r>
        <w:t xml:space="preserve">(27 rows, all</w:t>
      </w:r>
      <w:r>
        <w:t xml:space="preserve"> </w:t>
      </w:r>
      <w:r>
        <w:rPr>
          <w:rStyle w:val="VerbatimChar"/>
        </w:rPr>
        <w:t xml:space="preserve">status == "ok"</w:t>
      </w:r>
      <w:r>
        <w:t xml:space="preserve">)</w:t>
      </w:r>
      <w:r>
        <w:t xml:space="preserve"> </w:t>
      </w:r>
      <w:r>
        <w:t xml:space="preserve">and rendered as six standalone panels in figure 3.</w:t>
      </w:r>
    </w:p>
    <w:p>
      <w:pPr>
        <w:pStyle w:val="BodyText"/>
      </w:pPr>
      <w:r>
        <w:drawing>
          <wp:inline>
            <wp:extent cx="3733800" cy="2489200"/>
            <wp:effectExtent b="0" l="0" r="0" t="0"/>
            <wp:docPr descr="Figure 2A" title="" id="26" name="Picture"/>
            <a:graphic>
              <a:graphicData uri="http://schemas.openxmlformats.org/drawingml/2006/picture">
                <pic:pic>
                  <pic:nvPicPr>
                    <pic:cNvPr descr="figures/figure1_A_size_vs_cells.pdf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2489200"/>
            <wp:effectExtent b="0" l="0" r="0" t="0"/>
            <wp:docPr descr="Figure 2B" title="" id="29" name="Picture"/>
            <a:graphic>
              <a:graphicData uri="http://schemas.openxmlformats.org/drawingml/2006/picture">
                <pic:pic>
                  <pic:nvPicPr>
                    <pic:cNvPr descr="figures/figure1_B_load_latency.pdf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2489200"/>
            <wp:effectExtent b="0" l="0" r="0" t="0"/>
            <wp:docPr descr="Figure 2C" title="" id="32" name="Picture"/>
            <a:graphic>
              <a:graphicData uri="http://schemas.openxmlformats.org/drawingml/2006/picture">
                <pic:pic>
                  <pic:nvPicPr>
                    <pic:cNvPr descr="figures/figure1_C_fetch_latency.pdf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2489200"/>
            <wp:effectExtent b="0" l="0" r="0" t="0"/>
            <wp:docPr descr="Figure 2D" title="" id="35" name="Picture"/>
            <a:graphic>
              <a:graphicData uri="http://schemas.openxmlformats.org/drawingml/2006/picture">
                <pic:pic>
                  <pic:nvPicPr>
                    <pic:cNvPr descr="figures/figure1_D_discover_scaling.pdf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2489200"/>
            <wp:effectExtent b="0" l="0" r="0" t="0"/>
            <wp:docPr descr="Figure 2E" title="" id="38" name="Picture"/>
            <a:graphic>
              <a:graphicData uri="http://schemas.openxmlformats.org/drawingml/2006/picture">
                <pic:pic>
                  <pic:nvPicPr>
                    <pic:cNvPr descr="figures/figure1_E_prepare_time.pdf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2489200"/>
            <wp:effectExtent b="0" l="0" r="0" t="0"/>
            <wp:docPr descr="Figure 2F" title="" id="41" name="Picture"/>
            <a:graphic>
              <a:graphicData uri="http://schemas.openxmlformats.org/drawingml/2006/picture">
                <pic:pic>
                  <pic:nvPicPr>
                    <pic:cNvPr descr="figures/figure1_F_peak_memory.pdf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rPr>
          <w:i/>
          <w:iCs/>
        </w:rPr>
        <w:t xml:space="preserve">scMINER Viewer performance on the synthetic sweep</w:t>
      </w:r>
      <w:r>
        <w:rPr>
          <w:i/>
          <w:iCs/>
        </w:rPr>
        <w:t xml:space="preserve"> </w:t>
      </w:r>
      <w:r>
        <w:rPr>
          <w:i/>
          <w:iCs/>
        </w:rPr>
        <w:t xml:space="preserve">(7 × 4 = 28 configurations × 5 replicates per configuration; points</w:t>
      </w:r>
      <w:r>
        <w:rPr>
          <w:i/>
          <w:iCs/>
        </w:rPr>
        <w:t xml:space="preserve"> </w:t>
      </w:r>
      <w:r>
        <w:rPr>
          <w:i/>
          <w:iCs/>
        </w:rPr>
        <w:t xml:space="preserve">are means, T-bars are ± standard error).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Bundle size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</w:t>
      </w:r>
      <w:r>
        <w:t xml:space="preserve"> </w:t>
      </w:r>
      <w:r>
        <w:t xml:space="preserve">series) versus the underlying shard-tree size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Shard tree</w:t>
      </w:r>
      <w:r>
        <w:t xml:space="preserve">) as a function of cell count, coloured by gene count</w:t>
      </w:r>
      <w:r>
        <w:t xml:space="preserve"> </w:t>
      </w:r>
      <w:r>
        <w:t xml:space="preserve">(2 K / 5 K / 8 K / 10 K). Lazy bundles remain near-constant</w:t>
      </w:r>
      <w:r>
        <w:t xml:space="preserve"> </w:t>
      </w:r>
      <w:r>
        <w:t xml:space="preserve">(~ 2.6 – 13.2 MB) while the shard tree grows roughly linearly with</w:t>
      </w:r>
      <w:r>
        <w:t xml:space="preserve"> </w:t>
      </w:r>
      <w:r>
        <w:rPr>
          <w:rStyle w:val="VerbatimChar"/>
        </w:rPr>
        <w:t xml:space="preserve">n_cells × n_genes</w:t>
      </w:r>
      <w:r>
        <w:t xml:space="preserve">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Cold-start</w:t>
      </w:r>
      <w:r>
        <w:t xml:space="preserve"> </w:t>
      </w:r>
      <w:r>
        <w:rPr>
          <w:rStyle w:val="VerbatimChar"/>
        </w:rPr>
        <w:t xml:space="preserve">load_study()</w:t>
      </w:r>
      <w:r>
        <w:t xml:space="preserve"> </w:t>
      </w:r>
      <w:r>
        <w:t xml:space="preserve">latency</w:t>
      </w:r>
      <w:r>
        <w:t xml:space="preserve"> </w:t>
      </w:r>
      <w:r>
        <w:t xml:space="preserve">stays sub-200 ms.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Median per-gene</w:t>
      </w:r>
      <w:r>
        <w:t xml:space="preserve"> </w:t>
      </w:r>
      <w:r>
        <w:rPr>
          <w:rStyle w:val="VerbatimChar"/>
        </w:rPr>
        <w:t xml:space="preserve">gene_values()</w:t>
      </w:r>
      <w:r>
        <w:t xml:space="preserve"> </w:t>
      </w:r>
      <w:r>
        <w:t xml:space="preserve">fetch</w:t>
      </w:r>
      <w:r>
        <w:t xml:space="preserve"> </w:t>
      </w:r>
      <w:r>
        <w:t xml:space="preserve">latency; each shard read is a single gzipped-CSV decode.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rPr>
          <w:rStyle w:val="VerbatimChar"/>
        </w:rPr>
        <w:t xml:space="preserve">discover_studies()</w:t>
      </w:r>
      <w:r>
        <w:t xml:space="preserve"> </w:t>
      </w:r>
      <w:r>
        <w:t xml:space="preserve">linear scan over a multi-study root</w:t>
      </w:r>
      <w:r>
        <w:t xml:space="preserve"> </w:t>
      </w:r>
      <w:r>
        <w:t xml:space="preserve">scales linearly with the number of studies (~ 80 ms per study).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rPr>
          <w:rStyle w:val="VerbatimChar"/>
        </w:rPr>
        <w:t xml:space="preserve">prepare_study_data()</w:t>
      </w:r>
      <w:r>
        <w:t xml:space="preserve"> </w:t>
      </w:r>
      <w:r>
        <w:t xml:space="preserve">wall time — the one-shot pipeline that</w:t>
      </w:r>
      <w:r>
        <w:t xml:space="preserve"> </w:t>
      </w:r>
      <w:r>
        <w:t xml:space="preserve">writes both the graph-import layout (</w:t>
      </w:r>
      <w:r>
        <w:rPr>
          <w:rStyle w:val="VerbatimChar"/>
        </w:rPr>
        <w:t xml:space="preserve">Cell/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Gene/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Network_*/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study_meta/</w:t>
      </w:r>
      <w:r>
        <w:t xml:space="preserve">, per-gene shards) and the</w:t>
      </w:r>
      <w:r>
        <w:t xml:space="preserve"> </w:t>
      </w:r>
      <w:r>
        <w:rPr>
          <w:rStyle w:val="VerbatimChar"/>
        </w:rPr>
        <w:t xml:space="preserve">.scminer.h5</w:t>
      </w:r>
      <w:r>
        <w:t xml:space="preserve"> </w:t>
      </w:r>
      <w:r>
        <w:t xml:space="preserve">bundle from</w:t>
      </w:r>
      <w:r>
        <w:t xml:space="preserve"> </w:t>
      </w:r>
      <w:r>
        <w:t xml:space="preserve">raw R structures. Time grows roughly linearly with</w:t>
      </w:r>
      <w:r>
        <w:t xml:space="preserve"> </w:t>
      </w:r>
      <w:r>
        <w:rPr>
          <w:rStyle w:val="VerbatimChar"/>
        </w:rPr>
        <w:t xml:space="preserve">n_cells × n_genes</w:t>
      </w:r>
      <w:r>
        <w:t xml:space="preserve">,</w:t>
      </w:r>
      <w:r>
        <w:t xml:space="preserve"> </w:t>
      </w:r>
      <w:r>
        <w:t xml:space="preserve">dominated by the per-gene</w:t>
      </w:r>
      <w:r>
        <w:t xml:space="preserve"> </w:t>
      </w:r>
      <w:r>
        <w:rPr>
          <w:rStyle w:val="VerbatimChar"/>
        </w:rPr>
        <w:t xml:space="preserve">.csv.gz</w:t>
      </w:r>
      <w:r>
        <w:t xml:space="preserve"> </w:t>
      </w:r>
      <w:r>
        <w:t xml:space="preserve">write loop.</w:t>
      </w:r>
      <w:r>
        <w:t xml:space="preserve"> </w:t>
      </w:r>
      <w:r>
        <w:rPr>
          <w:b/>
          <w:bCs/>
        </w:rPr>
        <w:t xml:space="preserve">(F)</w:t>
      </w:r>
      <w:r>
        <w:t xml:space="preserve"> </w:t>
      </w:r>
      <w:r>
        <w:t xml:space="preserve">Peak</w:t>
      </w:r>
      <w:r>
        <w:t xml:space="preserve"> </w:t>
      </w:r>
      <w:r>
        <w:t xml:space="preserve">working-set memory during</w:t>
      </w:r>
      <w:r>
        <w:t xml:space="preserve"> </w:t>
      </w:r>
      <w:r>
        <w:rPr>
          <w:rStyle w:val="VerbatimChar"/>
        </w:rPr>
        <w:t xml:space="preserve">prepare_study_data()</w:t>
      </w:r>
      <w:r>
        <w:t xml:space="preserve">, reported by R’s</w:t>
      </w:r>
      <w:r>
        <w:t xml:space="preserve"> </w:t>
      </w:r>
      <w:r>
        <w:rPr>
          <w:rStyle w:val="VerbatimChar"/>
        </w:rPr>
        <w:t xml:space="preserve">gc()</w:t>
      </w:r>
      <w:r>
        <w:t xml:space="preserve"> </w:t>
      </w:r>
      <w:r>
        <w:t xml:space="preserve">after a reset; stays bounded by</w:t>
      </w:r>
      <w:r>
        <w:t xml:space="preserve"> </w:t>
      </w:r>
      <w:r>
        <w:rPr>
          <w:rStyle w:val="VerbatimChar"/>
        </w:rPr>
        <w:t xml:space="preserve">O(n_cells × n_genes)</w:t>
      </w:r>
      <w:r>
        <w:t xml:space="preserve"> </w:t>
      </w:r>
      <w:r>
        <w:t xml:space="preserve">of</w:t>
      </w:r>
      <w:r>
        <w:t xml:space="preserve"> </w:t>
      </w:r>
      <w:r>
        <w:t xml:space="preserve">the in-memory sparse expression matrix. Generated by</w:t>
      </w:r>
      <w:r>
        <w:t xml:space="preserve"> </w:t>
      </w:r>
      <w:r>
        <w:rPr>
          <w:rStyle w:val="VerbatimChar"/>
        </w:rPr>
        <w:t xml:space="preserve">paper/benchmarks/figures.R</w:t>
      </w:r>
      <w:r>
        <w:t xml:space="preserve">; raw and aggregated numbers at</w:t>
      </w:r>
      <w:r>
        <w:t xml:space="preserve"> </w:t>
      </w:r>
      <w:r>
        <w:rPr>
          <w:rStyle w:val="VerbatimChar"/>
        </w:rPr>
        <w:t xml:space="preserve">paper/metrics/bundle_scaling.tsv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bundle_scaling_summary.tsv</w:t>
      </w:r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discover_scaling.tsv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discover_scaling_summary.tsv</w:t>
      </w:r>
      <w:r>
        <w:t xml:space="preserve">. Table</w:t>
      </w:r>
      <w:r>
        <w:t xml:space="preserve"> </w:t>
      </w:r>
      <w:r>
        <w:t xml:space="preserve">2 (</w:t>
      </w:r>
      <w:r>
        <w:rPr>
          <w:rStyle w:val="VerbatimChar"/>
        </w:rPr>
        <w:t xml:space="preserve">paper/tables/figure1_scaling.md</w:t>
      </w:r>
      <w:r>
        <w:t xml:space="preserve">) lists per-configuration mean</w:t>
      </w:r>
      <w:r>
        <w:t xml:space="preserve"> </w:t>
      </w:r>
      <w:r>
        <w:t xml:space="preserve">± SE for the 28 grid points underlying panels A, B, C, E, F.</w:t>
      </w:r>
      <w:r>
        <w:t xml:space="preserve"> </w:t>
      </w:r>
      <w:r>
        <w:t xml:space="preserve">Table 1 (</w:t>
      </w:r>
      <w:r>
        <w:rPr>
          <w:rStyle w:val="VerbatimChar"/>
        </w:rPr>
        <w:t xml:space="preserve">paper/tables/portal_studies.md</w:t>
      </w:r>
      <w:r>
        <w:t xml:space="preserve">) gives a comparable</w:t>
      </w:r>
      <w:r>
        <w:t xml:space="preserve"> </w:t>
      </w:r>
      <w:r>
        <w:t xml:space="preserve">per-study breakdown for the 27 real portal studies underlying</w:t>
      </w:r>
      <w:r>
        <w:t xml:space="preserve"> </w:t>
      </w:r>
      <w:r>
        <w:t xml:space="preserve">figure 3.</w:t>
      </w:r>
    </w:p>
    <w:p>
      <w:pPr>
        <w:pStyle w:val="BodyText"/>
      </w:pPr>
      <w:r>
        <w:drawing>
          <wp:inline>
            <wp:extent cx="3733800" cy="2489200"/>
            <wp:effectExtent b="0" l="0" r="0" t="0"/>
            <wp:docPr descr="Figure 3A" title="" id="44" name="Picture"/>
            <a:graphic>
              <a:graphicData uri="http://schemas.openxmlformats.org/drawingml/2006/picture">
                <pic:pic>
                  <pic:nvPicPr>
                    <pic:cNvPr descr="figures/figure_portal_A_size_vs_cells.pdf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2489200"/>
            <wp:effectExtent b="0" l="0" r="0" t="0"/>
            <wp:docPr descr="Figure 3B" title="" id="47" name="Picture"/>
            <a:graphic>
              <a:graphicData uri="http://schemas.openxmlformats.org/drawingml/2006/picture">
                <pic:pic>
                  <pic:nvPicPr>
                    <pic:cNvPr descr="figures/figure_portal_B_prepare_time.pdf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2489200"/>
            <wp:effectExtent b="0" l="0" r="0" t="0"/>
            <wp:docPr descr="Figure 3C" title="" id="50" name="Picture"/>
            <a:graphic>
              <a:graphicData uri="http://schemas.openxmlformats.org/drawingml/2006/picture">
                <pic:pic>
                  <pic:nvPicPr>
                    <pic:cNvPr descr="figures/figure_portal_C_peak_memory.pdf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2489200"/>
            <wp:effectExtent b="0" l="0" r="0" t="0"/>
            <wp:docPr descr="Figure 3D" title="" id="53" name="Picture"/>
            <a:graphic>
              <a:graphicData uri="http://schemas.openxmlformats.org/drawingml/2006/picture">
                <pic:pic>
                  <pic:nvPicPr>
                    <pic:cNvPr descr="figures/figure_portal_D_load_latency.pdf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2489200"/>
            <wp:effectExtent b="0" l="0" r="0" t="0"/>
            <wp:docPr descr="Figure 3E" title="" id="56" name="Picture"/>
            <a:graphic>
              <a:graphicData uri="http://schemas.openxmlformats.org/drawingml/2006/picture">
                <pic:pic>
                  <pic:nvPicPr>
                    <pic:cNvPr descr="figures/figure_portal_E_fetch_latency.pdf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733800" cy="2489200"/>
            <wp:effectExtent b="0" l="0" r="0" t="0"/>
            <wp:docPr descr="Figure 3F" title="" id="59" name="Picture"/>
            <a:graphic>
              <a:graphicData uri="http://schemas.openxmlformats.org/drawingml/2006/picture">
                <pic:pic>
                  <pic:nvPicPr>
                    <pic:cNvPr descr="figures/figure_portal_F_size_ratio.pdf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rPr>
          <w:i/>
          <w:iCs/>
        </w:rPr>
        <w:t xml:space="preserve">scMINER Viewer on the 27 real portal studies.</w:t>
      </w:r>
      <w:r>
        <w:t xml:space="preserve"> </w:t>
      </w:r>
      <w:r>
        <w:t xml:space="preserve">Each</w:t>
      </w:r>
      <w:r>
        <w:t xml:space="preserve"> </w:t>
      </w:r>
      <w:r>
        <w:t xml:space="preserve">point is one study; axes are log10 where annotated.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Bundle</w:t>
      </w:r>
      <w:r>
        <w:t xml:space="preserve"> </w:t>
      </w:r>
      <w:r>
        <w:t xml:space="preserve">(</w:t>
      </w:r>
      <w:r>
        <w:rPr>
          <w:rStyle w:val="VerbatimChar"/>
        </w:rPr>
        <w:t xml:space="preserve">.scminer.h5</w:t>
      </w:r>
      <w:r>
        <w:t xml:space="preserve">) and shard-tree size versus cell count. Bundles span</w:t>
      </w:r>
      <w:r>
        <w:t xml:space="preserve"> </w:t>
      </w:r>
      <w:r>
        <w:t xml:space="preserve">0.4 – 1 363 MB while shard trees span 1.7 – 9 672 MB; both grow</w:t>
      </w:r>
      <w:r>
        <w:t xml:space="preserve"> </w:t>
      </w:r>
      <w:r>
        <w:t xml:space="preserve">sub-linearly in</w:t>
      </w:r>
      <w:r>
        <w:t xml:space="preserve"> </w:t>
      </w:r>
      <w:r>
        <w:rPr>
          <w:rStyle w:val="VerbatimChar"/>
        </w:rPr>
        <w:t xml:space="preserve">n_cells</w:t>
      </w:r>
      <w:r>
        <w:t xml:space="preserve"> </w:t>
      </w:r>
      <w:r>
        <w:t xml:space="preserve">because per-study density and</w:t>
      </w:r>
      <w:r>
        <w:t xml:space="preserve"> </w:t>
      </w:r>
      <w:r>
        <w:t xml:space="preserve">gene-coverage vary.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rPr>
          <w:rStyle w:val="VerbatimChar"/>
        </w:rPr>
        <w:t xml:space="preserve">prepare_study_data()</w:t>
      </w:r>
      <w:r>
        <w:t xml:space="preserve"> </w:t>
      </w:r>
      <w:r>
        <w:t xml:space="preserve">wall time versus</w:t>
      </w:r>
      <w:r>
        <w:t xml:space="preserve"> </w:t>
      </w:r>
      <w:r>
        <w:rPr>
          <w:rStyle w:val="VerbatimChar"/>
        </w:rPr>
        <w:t xml:space="preserve">n_cells × n_genes</w:t>
      </w:r>
      <w:r>
        <w:t xml:space="preserve"> </w:t>
      </w:r>
      <w:r>
        <w:t xml:space="preserve">— three orders of magnitude on each axis, with</w:t>
      </w:r>
      <w:r>
        <w:t xml:space="preserve"> </w:t>
      </w:r>
      <w:r>
        <w:t xml:space="preserve">a roughly linear log-log relationship.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Peak R working-set</w:t>
      </w:r>
      <w:r>
        <w:t xml:space="preserve"> </w:t>
      </w:r>
      <w:r>
        <w:t xml:space="preserve">memory versus total input rds size; the dotted reference line is</w:t>
      </w:r>
      <w:r>
        <w:t xml:space="preserve"> </w:t>
      </w:r>
      <w:r>
        <w:rPr>
          <w:rStyle w:val="VerbatimChar"/>
        </w:rPr>
        <w:t xml:space="preserve">peak_Mb == input_MB</w:t>
      </w:r>
      <w:r>
        <w:t xml:space="preserve">. Most studies sit above the line because of</w:t>
      </w:r>
      <w:r>
        <w:t xml:space="preserve"> </w:t>
      </w:r>
      <w:r>
        <w:t xml:space="preserve">the in-memory sparse + dense intermediates</w:t>
      </w:r>
      <w:r>
        <w:t xml:space="preserve"> </w:t>
      </w:r>
      <w:r>
        <w:rPr>
          <w:rStyle w:val="VerbatimChar"/>
        </w:rPr>
        <w:t xml:space="preserve">prepare_study_data()</w:t>
      </w:r>
      <w:r>
        <w:t xml:space="preserve"> </w:t>
      </w:r>
      <w:r>
        <w:t xml:space="preserve">materialises.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Cold-start</w:t>
      </w:r>
      <w:r>
        <w:t xml:space="preserve"> </w:t>
      </w:r>
      <w:r>
        <w:rPr>
          <w:rStyle w:val="VerbatimChar"/>
        </w:rPr>
        <w:t xml:space="preserve">load_study()</w:t>
      </w:r>
      <w:r>
        <w:t xml:space="preserve"> </w:t>
      </w:r>
      <w:r>
        <w:t xml:space="preserve">latency versus</w:t>
      </w:r>
      <w:r>
        <w:t xml:space="preserve"> </w:t>
      </w:r>
      <w:r>
        <w:t xml:space="preserve">bundle size — sub-second for nearly every study; the four largest</w:t>
      </w:r>
      <w:r>
        <w:t xml:space="preserve"> </w:t>
      </w:r>
      <w:r>
        <w:t xml:space="preserve">bundles climb past 5 s.</w:t>
      </w:r>
      <w:r>
        <w:t xml:space="preserve"> </w:t>
      </w:r>
      <w:r>
        <w:rPr>
          <w:b/>
          <w:bCs/>
        </w:rPr>
        <w:t xml:space="preserve">(E)</w:t>
      </w:r>
      <w:r>
        <w:t xml:space="preserve"> </w:t>
      </w:r>
      <w:r>
        <w:t xml:space="preserve">Median</w:t>
      </w:r>
      <w:r>
        <w:t xml:space="preserve"> </w:t>
      </w:r>
      <w:r>
        <w:rPr>
          <w:rStyle w:val="VerbatimChar"/>
        </w:rPr>
        <w:t xml:space="preserve">gene_values()</w:t>
      </w:r>
      <w:r>
        <w:t xml:space="preserve"> </w:t>
      </w:r>
      <w:r>
        <w:t xml:space="preserve">fetch</w:t>
      </w:r>
      <w:r>
        <w:t xml:space="preserve"> </w:t>
      </w:r>
      <w:r>
        <w:t xml:space="preserve">latency versus gene count — a 30× range (38 – 1 249 ms) driven</w:t>
      </w:r>
      <w:r>
        <w:t xml:space="preserve"> </w:t>
      </w:r>
      <w:r>
        <w:t xml:space="preserve">primarily by per-shard cell count (each fetch decodes one gzipped</w:t>
      </w:r>
      <w:r>
        <w:t xml:space="preserve"> </w:t>
      </w:r>
      <w:r>
        <w:t xml:space="preserve">CSV of length</w:t>
      </w:r>
      <w:r>
        <w:t xml:space="preserve"> </w:t>
      </w:r>
      <w:r>
        <w:rPr>
          <w:rStyle w:val="VerbatimChar"/>
        </w:rPr>
        <w:t xml:space="preserve">n_cells</w:t>
      </w:r>
      <w:r>
        <w:t xml:space="preserve">).</w:t>
      </w:r>
      <w:r>
        <w:t xml:space="preserve"> </w:t>
      </w:r>
      <w:r>
        <w:rPr>
          <w:b/>
          <w:bCs/>
        </w:rPr>
        <w:t xml:space="preserve">(F)</w:t>
      </w:r>
      <w:r>
        <w:t xml:space="preserve"> </w:t>
      </w:r>
      <w:r>
        <w:t xml:space="preserve">Output-to-input size ratio per</w:t>
      </w:r>
      <w:r>
        <w:t xml:space="preserve"> </w:t>
      </w:r>
      <w:r>
        <w:t xml:space="preserve">study, sorted ascending and coloured by whether activity matrices</w:t>
      </w:r>
      <w:r>
        <w:t xml:space="preserve"> </w:t>
      </w:r>
      <w:r>
        <w:t xml:space="preserve">were present. Studies with expression + activity (blue) bundle into</w:t>
      </w:r>
      <w:r>
        <w:t xml:space="preserve"> </w:t>
      </w:r>
      <w:r>
        <w:t xml:space="preserve">smaller output:input ratios than expression-only studies (teal)</w:t>
      </w:r>
      <w:r>
        <w:t xml:space="preserve"> </w:t>
      </w:r>
      <w:r>
        <w:t xml:space="preserve">because the shared cell metadata is amortised across more shards.</w:t>
      </w:r>
      <w:r>
        <w:t xml:space="preserve"> </w:t>
      </w:r>
      <w:r>
        <w:t xml:space="preserve">Generated by</w:t>
      </w:r>
      <w:r>
        <w:t xml:space="preserve"> </w:t>
      </w:r>
      <w:r>
        <w:rPr>
          <w:rStyle w:val="VerbatimChar"/>
        </w:rPr>
        <w:t xml:space="preserve">paper/benchmarks/figure_portal.R</w:t>
      </w:r>
      <w:r>
        <w:t xml:space="preserve">; raw numbers at</w:t>
      </w:r>
      <w:r>
        <w:t xml:space="preserve"> </w:t>
      </w:r>
      <w:r>
        <w:rPr>
          <w:rStyle w:val="VerbatimChar"/>
        </w:rPr>
        <w:t xml:space="preserve">paper/metrics/portal_studies.tsv</w:t>
      </w:r>
      <w:r>
        <w:t xml:space="preserve"> </w:t>
      </w:r>
      <w:r>
        <w:t xml:space="preserve">and per-study TSVs at</w:t>
      </w:r>
      <w:r>
        <w:t xml:space="preserve"> </w:t>
      </w:r>
      <w:r>
        <w:rPr>
          <w:rStyle w:val="VerbatimChar"/>
        </w:rPr>
        <w:t xml:space="preserve">paper/metrics/portal_studies_&lt;id&gt;.tsv</w:t>
      </w:r>
      <w:r>
        <w:t xml:space="preserve">. The full per-study</w:t>
      </w:r>
      <w:r>
        <w:t xml:space="preserve"> </w:t>
      </w:r>
      <w:r>
        <w:t xml:space="preserve">breakdown is in Table 1 (</w:t>
      </w:r>
      <w:r>
        <w:rPr>
          <w:rStyle w:val="VerbatimChar"/>
        </w:rPr>
        <w:t xml:space="preserve">paper/tables/portal_studies.md</w:t>
      </w:r>
      <w:r>
        <w:t xml:space="preserve">).</w:t>
      </w:r>
    </w:p>
    <w:bookmarkEnd w:id="61"/>
    <w:bookmarkEnd w:id="62"/>
    <w:bookmarkStart w:id="67" w:name="results-and-discussion"/>
    <w:p>
      <w:pPr>
        <w:pStyle w:val="Heading2"/>
      </w:pPr>
      <w:r>
        <w:t xml:space="preserve">4 Results and discussion</w:t>
      </w:r>
    </w:p>
    <w:bookmarkStart w:id="63" w:name="bundle-scaling-1"/>
    <w:p>
      <w:pPr>
        <w:pStyle w:val="Heading3"/>
      </w:pPr>
      <w:r>
        <w:t xml:space="preserve">4.1 Bundle scaling</w:t>
      </w:r>
    </w:p>
    <w:p>
      <w:pPr>
        <w:pStyle w:val="FirstParagraph"/>
      </w:pPr>
      <w:r>
        <w:t xml:space="preserve">The bundle stays small because matrix values are deliberately excluded.</w:t>
      </w:r>
      <w:r>
        <w:t xml:space="preserve"> </w:t>
      </w:r>
      <w:r>
        <w:t xml:space="preserve">Across the 7 × 4 synthetic sweep (28 configurations × 5 replicates),</w:t>
      </w:r>
      <w:r>
        <w:t xml:space="preserve"> </w:t>
      </w:r>
      <w:r>
        <w:t xml:space="preserve">bundle size ranges from 2.58 ± 0.00 MB (500 cells × 2 K genes) to</w:t>
      </w:r>
      <w:r>
        <w:t xml:space="preserve"> </w:t>
      </w:r>
      <w:r>
        <w:t xml:space="preserve">13.21 ± 0.00 MB (10 K cells × 10 K genes) — a 5× growth in size for</w:t>
      </w:r>
      <w:r>
        <w:t xml:space="preserve"> </w:t>
      </w:r>
      <w:r>
        <w:t xml:space="preserve">a 100× growth in</w:t>
      </w:r>
      <w:r>
        <w:t xml:space="preserve"> </w:t>
      </w:r>
      <w:r>
        <w:rPr>
          <w:rStyle w:val="VerbatimChar"/>
        </w:rPr>
        <w:t xml:space="preserve">n_cells × n_genes</w:t>
      </w:r>
      <w:r>
        <w:t xml:space="preserve">. The accompanying shard tree</w:t>
      </w:r>
      <w:r>
        <w:t xml:space="preserve"> </w:t>
      </w:r>
      <w:r>
        <w:t xml:space="preserve">grows roughly linearly with</w:t>
      </w:r>
      <w:r>
        <w:t xml:space="preserve"> </w:t>
      </w:r>
      <w:r>
        <w:rPr>
          <w:rStyle w:val="VerbatimChar"/>
        </w:rPr>
        <w:t xml:space="preserve">n_cells × n_genes</w:t>
      </w:r>
      <w:r>
        <w:t xml:space="preserve"> </w:t>
      </w:r>
      <w:r>
        <w:t xml:space="preserve">over the same sweep</w:t>
      </w:r>
      <w:r>
        <w:t xml:space="preserve"> </w:t>
      </w:r>
      <w:r>
        <w:t xml:space="preserve">(1.1 MB to 106.3 MB; Figure 2A), as expected for one gzipped CSV per</w:t>
      </w:r>
      <w:r>
        <w:t xml:space="preserve"> </w:t>
      </w:r>
      <w:r>
        <w:t xml:space="preserve">gene plus a per-matrix cell-header file. The real 2327 study follows</w:t>
      </w:r>
      <w:r>
        <w:t xml:space="preserve"> </w:t>
      </w:r>
      <w:r>
        <w:t xml:space="preserve">the same pattern at production scale: 76.8 MB bundle indexes</w:t>
      </w:r>
      <w:r>
        <w:t xml:space="preserve"> </w:t>
      </w:r>
      <w:r>
        <w:t xml:space="preserve">≈ 1.2 GB of expression + activity shards.</w:t>
      </w:r>
    </w:p>
    <w:p>
      <w:pPr>
        <w:pStyle w:val="BodyText"/>
      </w:pPr>
      <w:r>
        <w:t xml:space="preserve">Cold</w:t>
      </w:r>
      <w:r>
        <w:t xml:space="preserve"> </w:t>
      </w:r>
      <w:r>
        <w:rPr>
          <w:rStyle w:val="VerbatimChar"/>
        </w:rPr>
        <w:t xml:space="preserve">load_study()</w:t>
      </w:r>
      <w:r>
        <w:t xml:space="preserve"> </w:t>
      </w:r>
      <w:r>
        <w:t xml:space="preserve">latency stays sub-200 ms across the whole sweep</w:t>
      </w:r>
      <w:r>
        <w:t xml:space="preserve"> </w:t>
      </w:r>
      <w:r>
        <w:t xml:space="preserve">(0.10 ± 0.001 s at the smallest configuration, 0.16 ± 0.001 s at the</w:t>
      </w:r>
      <w:r>
        <w:t xml:space="preserve"> </w:t>
      </w:r>
      <w:r>
        <w:t xml:space="preserve">largest; Figure 2B) and 0.52 s on the full 2327 study. The</w:t>
      </w:r>
      <w:r>
        <w:t xml:space="preserve"> </w:t>
      </w:r>
      <w:r>
        <w:t xml:space="preserve">sub-linear growth reflects that load only parses metadata + indexes</w:t>
      </w:r>
      <w:r>
        <w:t xml:space="preserve"> </w:t>
      </w:r>
      <w:r>
        <w:t xml:space="preserve">from HDF5; no matrix values are touched. Median per-gene</w:t>
      </w:r>
      <w:r>
        <w:t xml:space="preserve"> </w:t>
      </w:r>
      <w:r>
        <w:rPr>
          <w:rStyle w:val="VerbatimChar"/>
        </w:rPr>
        <w:t xml:space="preserve">gene_values()</w:t>
      </w:r>
      <w:r>
        <w:t xml:space="preserve"> </w:t>
      </w:r>
      <w:r>
        <w:t xml:space="preserve">fetch latency tracks the per-shard gzip decode cost</w:t>
      </w:r>
      <w:r>
        <w:t xml:space="preserve"> </w:t>
      </w:r>
      <w:r>
        <w:t xml:space="preserve">and stays in a tight 14 – 37 ms band over the whole grid (Figure 2C);</w:t>
      </w:r>
      <w:r>
        <w:t xml:space="preserve"> </w:t>
      </w:r>
      <w:r>
        <w:t xml:space="preserve">the wider error bars at large cell counts come from the gzipped CSV</w:t>
      </w:r>
      <w:r>
        <w:t xml:space="preserve"> </w:t>
      </w:r>
      <w:r>
        <w:t xml:space="preserve">being correspondingly larger (each shard is ~</w:t>
      </w:r>
      <w:r>
        <w:t xml:space="preserve"> </w:t>
      </w:r>
      <w:r>
        <w:rPr>
          <w:rStyle w:val="VerbatimChar"/>
        </w:rPr>
        <w:t xml:space="preserve">n_cells × 4 bytes</w:t>
      </w:r>
      <w:r>
        <w:t xml:space="preserve"> </w:t>
      </w:r>
      <w:r>
        <w:t xml:space="preserve">uncompressed).</w:t>
      </w:r>
    </w:p>
    <w:bookmarkEnd w:id="63"/>
    <w:bookmarkStart w:id="64" w:name="multi-study-discovery-scaling-1"/>
    <w:p>
      <w:pPr>
        <w:pStyle w:val="Heading3"/>
      </w:pPr>
      <w:r>
        <w:t xml:space="preserve">4.2 Multi-study discovery scaling</w:t>
      </w:r>
    </w:p>
    <w:p>
      <w:pPr>
        <w:pStyle w:val="FirstParagraph"/>
      </w:pPr>
      <w:r>
        <w:rPr>
          <w:rStyle w:val="VerbatimChar"/>
        </w:rPr>
        <w:t xml:space="preserve">discover_studies()</w:t>
      </w:r>
      <w:r>
        <w:t xml:space="preserve"> </w:t>
      </w:r>
      <w:r>
        <w:t xml:space="preserve">is the single hot path of the multi-study</w:t>
      </w:r>
      <w:r>
        <w:t xml:space="preserve"> </w:t>
      </w:r>
      <w:r>
        <w:t xml:space="preserve">browser: it walks</w:t>
      </w:r>
      <w:r>
        <w:t xml:space="preserve"> </w:t>
      </w:r>
      <w:r>
        <w:rPr>
          <w:rStyle w:val="VerbatimChar"/>
        </w:rPr>
        <w:t xml:space="preserve">&lt;root&gt;/&lt;studyID&gt;/&lt;studyID&gt;.scminer.h5</w:t>
      </w:r>
      <w:r>
        <w:t xml:space="preserve"> </w:t>
      </w:r>
      <w:r>
        <w:t xml:space="preserve">patterns</w:t>
      </w:r>
      <w:r>
        <w:t xml:space="preserve"> </w:t>
      </w:r>
      <w:r>
        <w:t xml:space="preserve">and reads each study’s</w:t>
      </w:r>
      <w:r>
        <w:t xml:space="preserve"> </w:t>
      </w:r>
      <w:r>
        <w:rPr>
          <w:rStyle w:val="VerbatimChar"/>
        </w:rPr>
        <w:t xml:space="preserve">/meta/</w:t>
      </w:r>
      <w:r>
        <w:t xml:space="preserve"> </w:t>
      </w:r>
      <w:r>
        <w:t xml:space="preserve">group only — no</w:t>
      </w:r>
      <w:r>
        <w:t xml:space="preserve"> </w:t>
      </w:r>
      <w:r>
        <w:rPr>
          <w:rStyle w:val="VerbatimChar"/>
        </w:rPr>
        <w:t xml:space="preserve">/cells/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/genes/</w:t>
      </w:r>
      <w:r>
        <w:t xml:space="preserve">,</w:t>
      </w:r>
      <w:r>
        <w:t xml:space="preserve"> </w:t>
      </w:r>
      <w:r>
        <w:t xml:space="preserve">or index payload. Empirically the scan is linear in the number of</w:t>
      </w:r>
      <w:r>
        <w:t xml:space="preserve"> </w:t>
      </w:r>
      <w:r>
        <w:t xml:space="preserve">studies (Figure 2D, R² ≈ 1.0): the slope is ~ 80 ms per study on</w:t>
      </w:r>
      <w:r>
        <w:t xml:space="preserve"> </w:t>
      </w:r>
      <w:r>
        <w:t xml:space="preserve">commodity SSD hardware, with the intercept dominated by Python /</w:t>
      </w:r>
      <w:r>
        <w:t xml:space="preserve"> </w:t>
      </w:r>
      <w:r>
        <w:t xml:space="preserve">HDF5 library initialisation. For a research group hosting 30+</w:t>
      </w:r>
      <w:r>
        <w:t xml:space="preserve"> </w:t>
      </w:r>
      <w:r>
        <w:t xml:space="preserve">internal studies under one root — comparable in scale to the public</w:t>
      </w:r>
      <w:r>
        <w:t xml:space="preserve"> </w:t>
      </w:r>
      <w:r>
        <w:t xml:space="preserve">scMINER Portal — discovery completes in under 3 seconds before the</w:t>
      </w:r>
      <w:r>
        <w:t xml:space="preserve"> </w:t>
      </w:r>
      <w:r>
        <w:t xml:space="preserve">card-grid landing page renders, and individual study load times</w:t>
      </w:r>
      <w:r>
        <w:t xml:space="preserve"> </w:t>
      </w:r>
      <w:r>
        <w:t xml:space="preserve">remain governed only by the per-study</w:t>
      </w:r>
      <w:r>
        <w:t xml:space="preserve"> </w:t>
      </w:r>
      <w:r>
        <w:rPr>
          <w:rStyle w:val="VerbatimChar"/>
        </w:rPr>
        <w:t xml:space="preserve">load_study()</w:t>
      </w:r>
      <w:r>
        <w:t xml:space="preserve"> </w:t>
      </w:r>
      <w:r>
        <w:t xml:space="preserve">cost above</w:t>
      </w:r>
      <w:r>
        <w:t xml:space="preserve"> </w:t>
      </w:r>
      <w:r>
        <w:t xml:space="preserve">(sub-200 ms).</w:t>
      </w:r>
    </w:p>
    <w:bookmarkEnd w:id="64"/>
    <w:bookmarkStart w:id="65" w:name="real-portal-study-sweep-1"/>
    <w:p>
      <w:pPr>
        <w:pStyle w:val="Heading3"/>
      </w:pPr>
      <w:r>
        <w:t xml:space="preserve">4.3 Real portal study sweep</w:t>
      </w:r>
    </w:p>
    <w:p>
      <w:pPr>
        <w:pStyle w:val="FirstParagraph"/>
      </w:pPr>
      <w:r>
        <w:t xml:space="preserve">The same end-to-end pipeline applied to the 27 public scMINER Portal</w:t>
      </w:r>
      <w:r>
        <w:t xml:space="preserve"> </w:t>
      </w:r>
      <w:r>
        <w:t xml:space="preserve">studies (Figure 3; Table 1) reproduces the synthetic-sweep findings</w:t>
      </w:r>
      <w:r>
        <w:t xml:space="preserve"> </w:t>
      </w:r>
      <w:r>
        <w:t xml:space="preserve">at production scale.</w:t>
      </w:r>
      <w:r>
        <w:t xml:space="preserve"> </w:t>
      </w:r>
      <w:r>
        <w:rPr>
          <w:b/>
          <w:bCs/>
        </w:rPr>
        <w:t xml:space="preserve">Lazy storage holds across four orders of</w:t>
      </w:r>
      <w:r>
        <w:rPr>
          <w:b/>
          <w:bCs/>
        </w:rPr>
        <w:t xml:space="preserve"> </w:t>
      </w:r>
      <w:r>
        <w:rPr>
          <w:b/>
          <w:bCs/>
        </w:rPr>
        <w:t xml:space="preserve">magnitude of study size.</w:t>
      </w:r>
      <w:r>
        <w:t xml:space="preserve"> </w:t>
      </w:r>
      <w:r>
        <w:t xml:space="preserve">Bundle size ranges from 0.4 MB (Chung,</w:t>
      </w:r>
      <w:r>
        <w:t xml:space="preserve"> </w:t>
      </w:r>
      <w:r>
        <w:t xml:space="preserve">317 cells × 10 897 genes) to 1 363 MB (study 2338, 96 305 cells ×</w:t>
      </w:r>
      <w:r>
        <w:t xml:space="preserve"> </w:t>
      </w:r>
      <w:r>
        <w:t xml:space="preserve">15 778 genes); the underlying shard tree ranges from 1.7 MB to</w:t>
      </w:r>
      <w:r>
        <w:t xml:space="preserve"> </w:t>
      </w:r>
      <w:r>
        <w:t xml:space="preserve">9 672 MB. The single largest study (ATRT / 2333: 138 268 cells ×</w:t>
      </w:r>
      <w:r>
        <w:t xml:space="preserve"> </w:t>
      </w:r>
      <w:r>
        <w:t xml:space="preserve">18 274 genes, 24 GB on-disk input rds) bundles into a 105.8 MB</w:t>
      </w:r>
      <w:r>
        <w:t xml:space="preserve"> </w:t>
      </w:r>
      <w:r>
        <w:rPr>
          <w:rStyle w:val="VerbatimChar"/>
        </w:rPr>
        <w:t xml:space="preserve">.scminer.h5</w:t>
      </w:r>
      <w:r>
        <w:t xml:space="preserve"> </w:t>
      </w:r>
      <w:r>
        <w:t xml:space="preserve">plus a 3 GB shard tree — a 7× compression of the</w:t>
      </w:r>
      <w:r>
        <w:t xml:space="preserve"> </w:t>
      </w:r>
      <w:r>
        <w:t xml:space="preserve">total input footprint into the served format (Figure 3A, F).</w:t>
      </w:r>
    </w:p>
    <w:p>
      <w:pPr>
        <w:pStyle w:val="BodyText"/>
      </w:pPr>
      <w:r>
        <w:rPr>
          <w:b/>
          <w:bCs/>
        </w:rPr>
        <w:t xml:space="preserve">Cold-start latency stays sub-second on most studies.</w:t>
      </w:r>
      <w:r>
        <w:t xml:space="preserve"> </w:t>
      </w:r>
      <w:r>
        <w:t xml:space="preserve">22 of 27</w:t>
      </w:r>
      <w:r>
        <w:t xml:space="preserve"> </w:t>
      </w:r>
      <w:r>
        <w:t xml:space="preserve">studies load in under 1 s; the four 100 k+ cell studies (Covid97k,</w:t>
      </w:r>
      <w:r>
        <w:t xml:space="preserve"> </w:t>
      </w:r>
      <w:r>
        <w:t xml:space="preserve">Covid650k, study 2338, GSE155446 / 2332) climb to 5 – 15 s, still</w:t>
      </w:r>
      <w:r>
        <w:t xml:space="preserve"> </w:t>
      </w:r>
      <w:r>
        <w:t xml:space="preserve">dominated by HDF5 metadata reads rather than matrix decoding</w:t>
      </w:r>
      <w:r>
        <w:t xml:space="preserve"> </w:t>
      </w:r>
      <w:r>
        <w:t xml:space="preserve">(Figure 3D).</w:t>
      </w:r>
      <w:r>
        <w:t xml:space="preserve"> </w:t>
      </w:r>
      <w:r>
        <w:rPr>
          <w:b/>
          <w:bCs/>
        </w:rPr>
        <w:t xml:space="preserve">Per-gene fetch latency</w:t>
      </w:r>
      <w:r>
        <w:t xml:space="preserve"> </w:t>
      </w:r>
      <w:r>
        <w:t xml:space="preserve">scales with the per-shard</w:t>
      </w:r>
      <w:r>
        <w:t xml:space="preserve"> </w:t>
      </w:r>
      <w:r>
        <w:t xml:space="preserve">cell count: 38 ms median at the small end (124-cell ground-truth</w:t>
      </w:r>
      <w:r>
        <w:t xml:space="preserve"> </w:t>
      </w:r>
      <w:r>
        <w:t xml:space="preserve">studies) up to 1 249 ms median on ATRT (Figure 3E). The 25-th to</w:t>
      </w:r>
      <w:r>
        <w:t xml:space="preserve"> </w:t>
      </w:r>
      <w:r>
        <w:t xml:space="preserve">75-th percentile of fetch latency across the 27-study set is</w:t>
      </w:r>
      <w:r>
        <w:t xml:space="preserve"> </w:t>
      </w:r>
      <w:r>
        <w:t xml:space="preserve">50 – 200 ms — well inside an interactive-feel threshold for a Shiny</w:t>
      </w:r>
      <w:r>
        <w:t xml:space="preserve"> </w:t>
      </w:r>
      <w:r>
        <w:t xml:space="preserve">app even on the largest production studies.</w:t>
      </w:r>
    </w:p>
    <w:p>
      <w:pPr>
        <w:pStyle w:val="BodyText"/>
      </w:pPr>
      <w:r>
        <w:rPr>
          <w:rStyle w:val="VerbatimChar"/>
          <w:b/>
          <w:bCs/>
        </w:rPr>
        <w:t xml:space="preserve">prepare_study_data()</w:t>
      </w:r>
      <w:r>
        <w:rPr>
          <w:b/>
          <w:bCs/>
        </w:rPr>
        <w:t xml:space="preserve"> </w:t>
      </w:r>
      <w:r>
        <w:rPr>
          <w:b/>
          <w:bCs/>
        </w:rPr>
        <w:t xml:space="preserve">wall time and peak memory</w:t>
      </w:r>
      <w:r>
        <w:t xml:space="preserve"> </w:t>
      </w:r>
      <w:r>
        <w:t xml:space="preserve">track the</w:t>
      </w:r>
      <w:r>
        <w:t xml:space="preserve"> </w:t>
      </w:r>
      <w:r>
        <w:t xml:space="preserve">synthetic-sweep scaling (Figure 3B, C). The 5-minute to 17-hour range</w:t>
      </w:r>
      <w:r>
        <w:t xml:space="preserve"> </w:t>
      </w:r>
      <w:r>
        <w:t xml:space="preserve">across studies reflects the per-gene shard-write cost; peak R</w:t>
      </w:r>
      <w:r>
        <w:t xml:space="preserve"> </w:t>
      </w:r>
      <w:r>
        <w:t xml:space="preserve">working-set memory tops out at 49 GB on ATRT, set by the in-memory</w:t>
      </w:r>
      <w:r>
        <w:t xml:space="preserve"> </w:t>
      </w:r>
      <w:r>
        <w:t xml:space="preserve">dense expression matrix that some studies still ship (their rds is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dgeMatrix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dgCMatrix</w:t>
      </w:r>
      <w:r>
        <w:t xml:space="preserve">, see</w:t>
      </w:r>
      <w:r>
        <w:t xml:space="preserve"> </w:t>
      </w:r>
      <w:r>
        <w:rPr>
          <w:rStyle w:val="VerbatimChar"/>
        </w:rPr>
        <w:t xml:space="preserve">paper/portal/sparseify_eset.sh</w:t>
      </w:r>
      <w:r>
        <w:t xml:space="preserve"> </w:t>
      </w:r>
      <w:r>
        <w:t xml:space="preserve">for a one-time fix). Because preparation is offline and one-time,</w:t>
      </w:r>
      <w:r>
        <w:t xml:space="preserve"> </w:t>
      </w:r>
      <w:r>
        <w:t xml:space="preserve">this cost is amortised away from end-user latency — the served</w:t>
      </w:r>
      <w:r>
        <w:t xml:space="preserve"> </w:t>
      </w:r>
      <w:r>
        <w:t xml:space="preserve">artefact is the small</w:t>
      </w:r>
      <w:r>
        <w:t xml:space="preserve"> </w:t>
      </w:r>
      <w:r>
        <w:rPr>
          <w:rStyle w:val="VerbatimChar"/>
        </w:rPr>
        <w:t xml:space="preserve">.scminer.h5</w:t>
      </w:r>
      <w:r>
        <w:t xml:space="preserve"> </w:t>
      </w:r>
      <w:r>
        <w:t xml:space="preserve">+ shard tree.</w:t>
      </w:r>
    </w:p>
    <w:bookmarkEnd w:id="65"/>
    <w:bookmarkStart w:id="66" w:name="cost-of-data-preparation"/>
    <w:p>
      <w:pPr>
        <w:pStyle w:val="Heading3"/>
      </w:pPr>
      <w:r>
        <w:t xml:space="preserve">4.4 Cost of data preparation</w:t>
      </w:r>
    </w:p>
    <w:p>
      <w:pPr>
        <w:pStyle w:val="FirstParagraph"/>
      </w:pPr>
      <w:r>
        <w:t xml:space="preserve">The reverse side of the lazy contract is data preparation, which is</w:t>
      </w:r>
      <w:r>
        <w:t xml:space="preserve"> </w:t>
      </w:r>
      <w:r>
        <w:t xml:space="preserve">one-time and runs offline.</w:t>
      </w:r>
      <w:r>
        <w:t xml:space="preserve"> </w:t>
      </w:r>
      <w:r>
        <w:rPr>
          <w:rStyle w:val="VerbatimChar"/>
        </w:rPr>
        <w:t xml:space="preserve">prepare_study_data()</w:t>
      </w:r>
      <w:r>
        <w:t xml:space="preserve"> </w:t>
      </w:r>
      <w:r>
        <w:t xml:space="preserve">wall time grows</w:t>
      </w:r>
      <w:r>
        <w:t xml:space="preserve"> </w:t>
      </w:r>
      <w:r>
        <w:t xml:space="preserve">roughly linearly with</w:t>
      </w:r>
      <w:r>
        <w:t xml:space="preserve"> </w:t>
      </w:r>
      <w:r>
        <w:rPr>
          <w:rStyle w:val="VerbatimChar"/>
        </w:rPr>
        <w:t xml:space="preserve">n_cells × n_genes</w:t>
      </w:r>
      <w:r>
        <w:t xml:space="preserve"> </w:t>
      </w:r>
      <w:r>
        <w:t xml:space="preserve">(Figure 2E): the synthetic</w:t>
      </w:r>
      <w:r>
        <w:t xml:space="preserve"> </w:t>
      </w:r>
      <w:r>
        <w:t xml:space="preserve">sweep ranges from 29.6 ± 0.5 s (500 cells × 2 K genes) to 337.6 ±</w:t>
      </w:r>
      <w:r>
        <w:t xml:space="preserve"> </w:t>
      </w:r>
      <w:r>
        <w:t xml:space="preserve">1.8 s (10 K × 10 K), dominated by the per-gene</w:t>
      </w:r>
      <w:r>
        <w:t xml:space="preserve"> </w:t>
      </w:r>
      <w:r>
        <w:rPr>
          <w:rStyle w:val="VerbatimChar"/>
        </w:rPr>
        <w:t xml:space="preserve">.csv.gz</w:t>
      </w:r>
      <w:r>
        <w:t xml:space="preserve"> </w:t>
      </w:r>
      <w:r>
        <w:t xml:space="preserve">shard write</w:t>
      </w:r>
      <w:r>
        <w:t xml:space="preserve"> </w:t>
      </w:r>
      <w:r>
        <w:t xml:space="preserve">loop (one gzip per gene). Peak R working-set memory stays bounded at</w:t>
      </w:r>
      <w:r>
        <w:t xml:space="preserve"> </w:t>
      </w:r>
      <w:r>
        <w:t xml:space="preserve">~ 265 – 530 MB across the sweep (Figure 2F), reflecting the</w:t>
      </w:r>
      <w:r>
        <w:t xml:space="preserve"> </w:t>
      </w:r>
      <w:r>
        <w:t xml:space="preserve">in-memory sparse expression matrix plus per-gene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 </w:t>
      </w:r>
      <w:r>
        <w:t xml:space="preserve">scratch</w:t>
      </w:r>
      <w:r>
        <w:t xml:space="preserve"> </w:t>
      </w:r>
      <w:r>
        <w:t xml:space="preserve">buffers. Because prepare is a one-shot operation, this cost is</w:t>
      </w:r>
      <w:r>
        <w:t xml:space="preserve"> </w:t>
      </w:r>
      <w:r>
        <w:t xml:space="preserve">amortised across every subsequent</w:t>
      </w:r>
      <w:r>
        <w:t xml:space="preserve"> </w:t>
      </w:r>
      <w:r>
        <w:rPr>
          <w:rStyle w:val="VerbatimChar"/>
        </w:rPr>
        <w:t xml:space="preserve">load_study()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gene_values()</w:t>
      </w:r>
      <w:r>
        <w:t xml:space="preserve"> </w:t>
      </w:r>
      <w:r>
        <w:t xml:space="preserve">call.</w:t>
      </w:r>
    </w:p>
    <w:p>
      <w:pPr>
        <w:pStyle w:val="BodyText"/>
      </w:pPr>
      <w:r>
        <w:t xml:space="preserve">The lazy contract is what makes the user-facing flow feel</w:t>
      </w:r>
      <w:r>
        <w:t xml:space="preserve"> </w:t>
      </w:r>
      <w:r>
        <w:t xml:space="preserve">instantaneous: launching the app reads only the bundle; the first</w:t>
      </w:r>
      <w:r>
        <w:t xml:space="preserve"> </w:t>
      </w:r>
      <w:r>
        <w:t xml:space="preserve">gene-selection triggers one shard read; switching tabs replays cached</w:t>
      </w:r>
      <w:r>
        <w:t xml:space="preserve"> </w:t>
      </w:r>
      <w:r>
        <w:t xml:space="preserve">shards without re-decoding. The two-language design ensures that</w:t>
      </w:r>
      <w:r>
        <w:t xml:space="preserve"> </w:t>
      </w:r>
      <w:r>
        <w:t xml:space="preserve">groups standardised on R can continue using the same bundle as those</w:t>
      </w:r>
      <w:r>
        <w:t xml:space="preserve"> </w:t>
      </w:r>
      <w:r>
        <w:t xml:space="preserve">moving to Python, and the multi-study browser converts a directory of</w:t>
      </w:r>
      <w:r>
        <w:t xml:space="preserve"> </w:t>
      </w:r>
      <w:r>
        <w:t xml:space="preserve">scMINER outputs into a navigable index without any central service.</w:t>
      </w:r>
    </w:p>
    <w:p>
      <w:pPr>
        <w:pStyle w:val="BodyText"/>
      </w:pPr>
      <w:r>
        <w:t xml:space="preserve">Beyond the original use case of inspecting scMINER outputs, the format</w:t>
      </w:r>
      <w:r>
        <w:t xml:space="preserve"> </w:t>
      </w:r>
      <w:r>
        <w:t xml:space="preserve">is generic: any pipeline that produces UMAP coordinates + cluster</w:t>
      </w:r>
      <w:r>
        <w:t xml:space="preserve"> </w:t>
      </w:r>
      <w:r>
        <w:t xml:space="preserve">labels + per-gene matrices can populate the bundle. We expect this to</w:t>
      </w:r>
      <w:r>
        <w:t xml:space="preserve"> </w:t>
      </w:r>
      <w:r>
        <w:t xml:space="preserve">make scMINER Viewer broadly useful as a self-hosted complement to the</w:t>
      </w:r>
      <w:r>
        <w:t xml:space="preserve"> </w:t>
      </w:r>
      <w:r>
        <w:t xml:space="preserve">official scMINER Portal.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We thank the scMINER authors at St. Jude — Qingfei Pan, Liang Ding,</w:t>
      </w:r>
      <w:r>
        <w:t xml:space="preserve"> </w:t>
      </w:r>
      <w:r>
        <w:t xml:space="preserve">Siarhei Hladyshau, Xiangyu Yao, Jiayu Zhou, and others — for the</w:t>
      </w:r>
      <w:r>
        <w:t xml:space="preserve"> </w:t>
      </w:r>
      <w:r>
        <w:t xml:space="preserve">underlying framework and the Vue portal whose layout this work</w:t>
      </w:r>
      <w:r>
        <w:t xml:space="preserve"> </w:t>
      </w:r>
      <w:r>
        <w:t xml:space="preserve">mirrors.</w:t>
      </w:r>
    </w:p>
    <w:bookmarkEnd w:id="68"/>
    <w:bookmarkStart w:id="69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work was supported by St. Jude Comprehensive Cancer Center</w:t>
      </w:r>
      <w:r>
        <w:t xml:space="preserve"> </w:t>
      </w:r>
      <w:r>
        <w:t xml:space="preserve">Developmental Fund and the National Institutes of Health.</w:t>
      </w:r>
    </w:p>
    <w:bookmarkEnd w:id="69"/>
    <w:bookmarkStart w:id="7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Pan Q., Ding L., Hladyshau S.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(2025) scMINER: a mutual</w:t>
      </w:r>
      <w:r>
        <w:t xml:space="preserve"> </w:t>
      </w:r>
      <w:r>
        <w:t xml:space="preserve">information-based framework for clustering and hidden driver</w:t>
      </w:r>
      <w:r>
        <w:t xml:space="preserve"> </w:t>
      </w:r>
      <w:r>
        <w:t xml:space="preserve">inference from single-cell transcriptomics data.</w:t>
      </w:r>
      <w:r>
        <w:t xml:space="preserve"> </w:t>
      </w:r>
      <w:r>
        <w:rPr>
          <w:i/>
          <w:iCs/>
        </w:rPr>
        <w:t xml:space="preserve">Nature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Communications</w:t>
      </w:r>
      <w:r>
        <w:t xml:space="preserve">,</w:t>
      </w:r>
      <w:r>
        <w:t xml:space="preserve"> </w:t>
      </w:r>
      <w:r>
        <w:rPr>
          <w:b/>
          <w:bCs/>
        </w:rPr>
        <w:t xml:space="preserve">16</w:t>
      </w:r>
      <w:r>
        <w:t xml:space="preserve">, 4305.</w:t>
      </w:r>
    </w:p>
    <w:p>
      <w:pPr>
        <w:pStyle w:val="Compact"/>
        <w:numPr>
          <w:ilvl w:val="0"/>
          <w:numId w:val="1002"/>
        </w:numPr>
      </w:pPr>
      <w:r>
        <w:t xml:space="preserve">Khatamian A., Paull E.O., Califano A., Yu J. (2019) SJARACNe: a</w:t>
      </w:r>
      <w:r>
        <w:t xml:space="preserve"> </w:t>
      </w:r>
      <w:r>
        <w:t xml:space="preserve">scalable software tool for gene network reverse engineering from</w:t>
      </w:r>
      <w:r>
        <w:t xml:space="preserve"> </w:t>
      </w:r>
      <w:r>
        <w:t xml:space="preserve">big data.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,</w:t>
      </w:r>
      <w:r>
        <w:t xml:space="preserve"> </w:t>
      </w:r>
      <w:r>
        <w:rPr>
          <w:b/>
          <w:bCs/>
        </w:rPr>
        <w:t xml:space="preserve">35</w:t>
      </w:r>
      <w:r>
        <w:t xml:space="preserve">, 2165–2166.</w:t>
      </w:r>
    </w:p>
    <w:p>
      <w:pPr>
        <w:pStyle w:val="Compact"/>
        <w:numPr>
          <w:ilvl w:val="0"/>
          <w:numId w:val="1002"/>
        </w:numPr>
      </w:pPr>
      <w:r>
        <w:t xml:space="preserve">Wei T. (2024) ggsci: Scientific Journal and Sci-Fi Themed Color</w:t>
      </w:r>
      <w:r>
        <w:t xml:space="preserve"> </w:t>
      </w:r>
      <w:r>
        <w:t xml:space="preserve">Palettes for ggplot2. CRAN.</w:t>
      </w:r>
    </w:p>
    <w:p>
      <w:pPr>
        <w:pStyle w:val="Compact"/>
        <w:numPr>
          <w:ilvl w:val="0"/>
          <w:numId w:val="1002"/>
        </w:numPr>
      </w:pPr>
      <w:r>
        <w:t xml:space="preserve">Chang W.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 Shiny: Web Application Framework for R.</w:t>
      </w:r>
      <w:r>
        <w:t xml:space="preserve"> </w:t>
      </w:r>
      <w:r>
        <w:t xml:space="preserve">CRAN.</w:t>
      </w:r>
    </w:p>
    <w:p>
      <w:pPr>
        <w:pStyle w:val="Compact"/>
        <w:numPr>
          <w:ilvl w:val="0"/>
          <w:numId w:val="1002"/>
        </w:numPr>
      </w:pPr>
      <w:r>
        <w:t xml:space="preserve">Posit, PBC. (2024) Shiny for Python.</w:t>
      </w:r>
      <w:r>
        <w:t xml:space="preserve"> </w:t>
      </w:r>
      <w:hyperlink r:id="rId70">
        <w:r>
          <w:rPr>
            <w:rStyle w:val="Hyperlink"/>
          </w:rPr>
          <w:t xml:space="preserve">https://shiny.posit.co/py/</w:t>
        </w:r>
      </w:hyperlink>
    </w:p>
    <w:p>
      <w:pPr>
        <w:pStyle w:val="Compact"/>
        <w:numPr>
          <w:ilvl w:val="0"/>
          <w:numId w:val="1002"/>
        </w:numPr>
      </w:pPr>
      <w:r>
        <w:t xml:space="preserve">The HDF5 Group. (2023) HDF5 / hdf5r.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df" /><Relationship Type="http://schemas.openxmlformats.org/officeDocument/2006/relationships/image" Id="rId25" Target="media/rId25.pdf" /><Relationship Type="http://schemas.openxmlformats.org/officeDocument/2006/relationships/image" Id="rId28" Target="media/rId28.pdf" /><Relationship Type="http://schemas.openxmlformats.org/officeDocument/2006/relationships/image" Id="rId31" Target="media/rId31.pdf" /><Relationship Type="http://schemas.openxmlformats.org/officeDocument/2006/relationships/image" Id="rId34" Target="media/rId34.pdf" /><Relationship Type="http://schemas.openxmlformats.org/officeDocument/2006/relationships/image" Id="rId37" Target="media/rId37.pdf" /><Relationship Type="http://schemas.openxmlformats.org/officeDocument/2006/relationships/image" Id="rId40" Target="media/rId40.pdf" /><Relationship Type="http://schemas.openxmlformats.org/officeDocument/2006/relationships/image" Id="rId43" Target="media/rId43.pdf" /><Relationship Type="http://schemas.openxmlformats.org/officeDocument/2006/relationships/image" Id="rId46" Target="media/rId46.pdf" /><Relationship Type="http://schemas.openxmlformats.org/officeDocument/2006/relationships/image" Id="rId49" Target="media/rId49.pdf" /><Relationship Type="http://schemas.openxmlformats.org/officeDocument/2006/relationships/image" Id="rId52" Target="media/rId52.pdf" /><Relationship Type="http://schemas.openxmlformats.org/officeDocument/2006/relationships/image" Id="rId55" Target="media/rId55.pdf" /><Relationship Type="http://schemas.openxmlformats.org/officeDocument/2006/relationships/image" Id="rId58" Target="media/rId58.pdf" /><Relationship Type="http://schemas.openxmlformats.org/officeDocument/2006/relationships/hyperlink" Id="rId10" Target="https://github.com/jyyulab/scMINER-Viewer" TargetMode="External" /><Relationship Type="http://schemas.openxmlformats.org/officeDocument/2006/relationships/hyperlink" Id="rId9" Target="https://scminer.stjude.org" TargetMode="External" /><Relationship Type="http://schemas.openxmlformats.org/officeDocument/2006/relationships/hyperlink" Id="rId70" Target="https://shiny.posit.co/p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jyyulab/scMINER-Viewer" TargetMode="External" /><Relationship Type="http://schemas.openxmlformats.org/officeDocument/2006/relationships/hyperlink" Id="rId9" Target="https://scminer.stjude.org" TargetMode="External" /><Relationship Type="http://schemas.openxmlformats.org/officeDocument/2006/relationships/hyperlink" Id="rId70" Target="https://shiny.posit.co/p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2026-05-16T13:54:37Z</dcterms:created>
  <dcterms:modified xsi:type="dcterms:W3CDTF">2026-05-16T13:54:37Z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/>
  </property>
  <property fmtid="{D5CDD505-2E9C-101B-9397-08002B2CF9AE}" pid="4" name="header-includes">
    <vt:lpwstr/>
  </property>
  <property fmtid="{D5CDD505-2E9C-101B-9397-08002B2CF9AE}" pid="5" name="linestretch">
    <vt:lpwstr>1.15</vt:lpwstr>
  </property>
  <property fmtid="{D5CDD505-2E9C-101B-9397-08002B2CF9AE}" pid="6" name="linkcolor">
    <vt:lpwstr>NavyBlue</vt:lpwstr>
  </property>
  <property fmtid="{D5CDD505-2E9C-101B-9397-08002B2CF9AE}" pid="7" name="mainfont">
    <vt:lpwstr>Helvetica</vt:lpwstr>
  </property>
  <property fmtid="{D5CDD505-2E9C-101B-9397-08002B2CF9AE}" pid="8" name="monofont">
    <vt:lpwstr>Menlo</vt:lpwstr>
  </property>
  <property fmtid="{D5CDD505-2E9C-101B-9397-08002B2CF9AE}" pid="9" name="urlcolor">
    <vt:lpwstr>NavyBlue</vt:lpwstr>
  </property>
</Properties>
</file>