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Endpoint Security Standard</w:t>
      </w:r>
    </w:p>
    <w:p>
      <w:r>
        <w:t>Standard Number: IT-Security-STD-001</w:t>
      </w:r>
    </w:p>
    <w:p>
      <w:r>
        <w:t>Effective Date: July 14, 2026</w:t>
      </w:r>
    </w:p>
    <w:p>
      <w:r>
        <w:t>Owner: NYU Stern IT Service Desk</w:t>
      </w:r>
    </w:p>
    <w:p>
      <w:r>
        <w:t>Review Cycle: Annual</w:t>
      </w:r>
    </w:p>
    <w:p>
      <w:pPr>
        <w:pStyle w:val="Heading1"/>
      </w:pPr>
      <w:r>
        <w:t>1. Purpose</w:t>
      </w:r>
    </w:p>
    <w:p>
      <w:r>
        <w:t>This standard defines the technical and operational requirements for endpoint security, monitoring, and vulnerability management in support of the Endpoint Security and Monitoring Policy. It establishes measurable criteria to ensure all devices remain secure, compliant, and properly managed throughout their lifecycle.</w:t>
      </w:r>
    </w:p>
    <w:p>
      <w:pPr>
        <w:pStyle w:val="Heading1"/>
      </w:pPr>
      <w:r>
        <w:t>2. Scope</w:t>
      </w:r>
    </w:p>
    <w:p>
      <w:r>
        <w:t>This standard applies to all NYU Stern-managed laptops, desktops, and servers, as well as any devices granted access to Stern-managed systems where applicable.</w:t>
      </w:r>
    </w:p>
    <w:p>
      <w:pPr>
        <w:pStyle w:val="Heading1"/>
      </w:pPr>
      <w:r>
        <w:t>3. Standard Requirements</w:t>
      </w:r>
    </w:p>
    <w:p>
      <w:pPr>
        <w:pStyle w:val="Heading2"/>
      </w:pPr>
      <w:r>
        <w:t>3.1 Endpoint Management (KACE)</w:t>
      </w:r>
    </w:p>
    <w:p>
      <w:r>
        <w:t>All endpoints must be enrolled in KACE prior to deployment to ensure centralized management and visibility. Devices are required to check in at least once every 24 hours to maintain compliance and receive updates. Critical security patches must be deployed within 7 days of release, while high-priority patches must be deployed within 14 days. KACE must maintain accurate software inventory and device status at all times.</w:t>
      </w:r>
    </w:p>
    <w:p>
      <w:pPr>
        <w:pStyle w:val="Heading2"/>
      </w:pPr>
      <w:r>
        <w:t>3.2 Endpoint Detection and Response (Cortex XDR)</w:t>
      </w:r>
    </w:p>
    <w:p>
      <w:r>
        <w:t>The Cortex XDR agent must be installed, active, and properly configured on all endpoints. Real-time protection and behavioral monitoring must remain enabled at all times. Devices must maintain communication with the Cortex platform to ensure visibility. Alerts categorized as High or Critical must be reviewed within 24 hours. Unauthorized disabling or tampering with the agent is strictly prohibited.</w:t>
      </w:r>
    </w:p>
    <w:p>
      <w:pPr>
        <w:pStyle w:val="Heading2"/>
      </w:pPr>
      <w:r>
        <w:t>3.3 Vulnerability Management (InsightVM)</w:t>
      </w:r>
    </w:p>
    <w:p>
      <w:r>
        <w:t>All endpoints must be registered and visible within InsightVM. Authenticated vulnerability scans must be conducted at least once every 7 days. Critical vulnerabilities must be remediated within 7 days, and high vulnerabilities within 14 days. Any exceptions must be formally documented and approved by IT Security.</w:t>
      </w:r>
    </w:p>
    <w:p>
      <w:pPr>
        <w:pStyle w:val="Heading2"/>
      </w:pPr>
      <w:r>
        <w:t>3.4 Device Compliance</w:t>
      </w:r>
    </w:p>
    <w:p>
      <w:r>
        <w:t>A device is considered compliant when all required agents (KACE, Cortex XDR, InsightVM) are installed, active, and reporting correctly. The device must successfully check into all required platforms and must not have overdue critical vulnerabilities. Devices that fail to meet these criteria are considered non-compliant and may be subject to enforcement actions.</w:t>
      </w:r>
    </w:p>
    <w:p>
      <w:pPr>
        <w:pStyle w:val="Heading2"/>
      </w:pPr>
      <w:r>
        <w:t>3.5 Decommissioning Standards</w:t>
      </w:r>
    </w:p>
    <w:p>
      <w:r>
        <w:t>Before a device is retired, reassigned, or disposed of, it must be properly decommissioned. This includes removal from all management platforms, updating asset records, and ensuring all institutional data is securely and irreversibly removed in accordance with security standards.</w:t>
      </w:r>
    </w:p>
    <w:p>
      <w:pPr>
        <w:pStyle w:val="Heading3"/>
      </w:pPr>
      <w:r>
        <w:t>3.5.1 Conditions for Decommissioning</w:t>
      </w:r>
    </w:p>
    <w:p>
      <w:r>
        <w:t>A device must be decommissioned when any of the following conditions are met: the device has reached the end of its lifecycle, is no longer supported, has reached end of warranty where continued use presents risk, is being replaced or upgraded, poses a security risk, has failed hardware, is reassigned or the user has separated, cannot meet compliance requirements, or is reported lost or stolen. All such devices must follow the approved decommissioning process before being removed from service.</w:t>
      </w:r>
    </w:p>
    <w:p>
      <w:pPr>
        <w:pStyle w:val="Heading1"/>
      </w:pPr>
      <w:r>
        <w:t>4. Exceptions</w:t>
      </w:r>
    </w:p>
    <w:p>
      <w:r>
        <w:t>Exceptions to this standard must be documented with a valid business justification, approved by Stern IT Security, and reviewed periodically to ensure continued necessity.</w:t>
      </w:r>
    </w:p>
    <w:p>
      <w:pPr>
        <w:pStyle w:val="Heading1"/>
      </w:pPr>
      <w:r>
        <w:t>5. Compliance Measurement</w:t>
      </w:r>
    </w:p>
    <w:p>
      <w:r>
        <w:t>Compliance will be measured through reporting from KACE, Cortex XDR, and InsightVM. Devices that do not meet the requirements defined in this standard may be subject to remediation or enforcement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