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660400"/>
            <wp:docPr id="1" name="Picture 1"/>
            <wp:cNvGraphicFramePr>
              <a:graphicFrameLocks noChangeAspect="1"/>
            </wp:cNvGraphicFramePr>
            <a:graphic>
              <a:graphicData uri="http://schemas.openxmlformats.org/drawingml/2006/picture">
                <pic:pic>
                  <pic:nvPicPr>
                    <pic:cNvPr id="0" name="input-image---7a515293-ab3e-4c02-899c-8a7120479a1d.png"/>
                    <pic:cNvPicPr/>
                  </pic:nvPicPr>
                  <pic:blipFill>
                    <a:blip r:embed="rId9"/>
                    <a:stretch>
                      <a:fillRect/>
                    </a:stretch>
                  </pic:blipFill>
                  <pic:spPr>
                    <a:xfrm>
                      <a:off x="0" y="0"/>
                      <a:ext cx="1371600" cy="660400"/>
                    </a:xfrm>
                    <a:prstGeom prst="rect"/>
                  </pic:spPr>
                </pic:pic>
              </a:graphicData>
            </a:graphic>
          </wp:inline>
        </w:drawing>
      </w:r>
    </w:p>
    <w:p>
      <w:pPr>
        <w:jc w:val="center"/>
      </w:pPr>
      <w:r>
        <w:rPr>
          <w:b/>
          <w:sz w:val="24"/>
        </w:rPr>
        <w:t>OVERTIME &amp; PAY CALCULATION POLICY</w:t>
        <w:br/>
        <w:t>POLÍTICA DE HORAS EXTRAS Y CÁLCULO DEL PAGO</w:t>
      </w:r>
    </w:p>
    <w:p>
      <w:pPr>
        <w:jc w:val="center"/>
      </w:pPr>
      <w:r>
        <w:t>New-Hire Handout / Guía para nuevos trabajadores</w:t>
      </w:r>
    </w:p>
    <w:tbl>
      <w:tblPr>
        <w:tblW w:type="auto" w:w="0"/>
        <w:tblLayout w:type="fixed"/>
        <w:tblLook w:firstColumn="1" w:firstRow="1" w:lastColumn="0" w:lastRow="0" w:noHBand="0" w:noVBand="1" w:val="04A0"/>
      </w:tblPr>
      <w:tblGrid>
        <w:gridCol w:w="5400"/>
        <w:gridCol w:w="5400"/>
      </w:tblGrid>
      <w:tr>
        <w:tc>
          <w:tcPr>
            <w:tcW w:type="dxa" w:w="5400"/>
          </w:tcPr>
          <w:p>
            <w:r>
              <w:rPr>
                <w:b/>
              </w:rPr>
              <w:t>ENGLISH</w:t>
            </w:r>
          </w:p>
          <w:p>
            <w:r>
              <w:rPr>
                <w:b/>
              </w:rPr>
              <w:t xml:space="preserve">Weekly overtime. </w:t>
            </w:r>
            <w:r>
              <w:t>Centrix pays overtime for hours worked over 40 in a workweek at 1.5 times the employee’s regular rate of pay. Hours do not average across separate workweeks. A workweek is a fixed, recurring period of seven consecutive days; it is not necessarily the same as the pay period.</w:t>
            </w:r>
          </w:p>
          <w:p>
            <w:r>
              <w:rPr>
                <w:b/>
              </w:rPr>
              <w:t xml:space="preserve">Hours counted. </w:t>
            </w:r>
            <w:r>
              <w:t>Record all time actually worked, including required training and other compensable work. Report interrupted or worked meal breaks. Paid holidays, vacation, sick leave, and other paid time not worked generally do not count toward 40 hours unless required by law or an applicable agreement.</w:t>
            </w:r>
          </w:p>
          <w:p>
            <w:r>
              <w:rPr>
                <w:b/>
              </w:rPr>
              <w:t xml:space="preserve">How pay is calculated. </w:t>
            </w:r>
            <w:r>
              <w:t>For a single hourly rate with no other includable compensation: regular pay = up to 40 hours × hourly rate; overtime pay = hours over 40 × hourly rate × 1.5. Example: 45 hours at $20/hour = $800 regular pay + $150 overtime pay = $950 gross pay, before taxes and lawful deductions.</w:t>
            </w:r>
          </w:p>
          <w:p>
            <w:r>
              <w:rPr>
                <w:b/>
              </w:rPr>
              <w:t xml:space="preserve">Regular rate adjustments. </w:t>
            </w:r>
            <w:r>
              <w:t>The regular rate may include nondiscretionary bonuses, shift differentials, and other legally includable compensation. If you work at multiple rates or client sites for Centrix in the same workweek, applicable hours are combined and overtime is calculated under applicable law.</w:t>
            </w:r>
          </w:p>
          <w:p>
            <w:r>
              <w:rPr>
                <w:b/>
              </w:rPr>
              <w:t xml:space="preserve">Approval and time records. </w:t>
            </w:r>
            <w:r>
              <w:t>Obtain advance approval from Centrix and the assigned client site before working overtime. Record and submit every hour worked accurately. All compensable time worked will be paid, even if not approved; failure to follow approval rules may result in corrective action. Never work off the clock.</w:t>
            </w:r>
          </w:p>
          <w:p>
            <w:r>
              <w:rPr>
                <w:b/>
              </w:rPr>
              <w:t xml:space="preserve">Questions and corrections. </w:t>
            </w:r>
            <w:r>
              <w:t>Review your pay statement and promptly report missing hours or pay errors to Centrix. Retaliation for reporting pay concerns is prohibited. More protective federal, state, or local requirements and applicable agreements control, including any required daily overtime or higher premiums.</w:t>
            </w:r>
          </w:p>
        </w:tc>
        <w:tc>
          <w:tcPr>
            <w:tcW w:type="dxa" w:w="5400"/>
          </w:tcPr>
          <w:p>
            <w:r>
              <w:rPr>
                <w:b/>
              </w:rPr>
              <w:t>ESPAÑOL</w:t>
            </w:r>
          </w:p>
          <w:p>
            <w:r>
              <w:rPr>
                <w:b/>
              </w:rPr>
              <w:t xml:space="preserve">Horas extras semanales. </w:t>
            </w:r>
            <w:r>
              <w:t>Centrix paga las horas trabajadas que excedan de 40 en una semana laboral a 1.5 veces la tarifa regular de pago. No se promedian horas entre semanas distintas. La semana laboral es un período fijo y recurrente de siete días consecutivos; no necesariamente coincide con el período de pago.</w:t>
            </w:r>
          </w:p>
          <w:p>
            <w:r>
              <w:rPr>
                <w:b/>
              </w:rPr>
              <w:t xml:space="preserve">Horas que se cuentan. </w:t>
            </w:r>
            <w:r>
              <w:t>Registre todo el tiempo trabajado, incluida la capacitación obligatoria y otro trabajo remunerable. Reporte descansos para comer interrumpidos o trabajados. Los feriados, vacaciones, licencias por enfermedad y otro tiempo pagado no trabajado generalmente no cuentan para las 40 horas, salvo que la ley o un acuerdo aplicable lo exija.</w:t>
            </w:r>
          </w:p>
          <w:p>
            <w:r>
              <w:rPr>
                <w:b/>
              </w:rPr>
              <w:t xml:space="preserve">Cálculo del pago. </w:t>
            </w:r>
            <w:r>
              <w:t>Con una sola tarifa por hora y sin otra remuneración que deba incluirse: pago regular = hasta 40 horas × tarifa por hora; horas extras = horas sobre 40 × tarifa por hora × 1.5. Ejemplo: 45 horas a $20/hora = $800 de pago regular + $150 de horas extras = $950 brutos, antes de impuestos y deducciones legales.</w:t>
            </w:r>
          </w:p>
          <w:p>
            <w:r>
              <w:rPr>
                <w:b/>
              </w:rPr>
              <w:t xml:space="preserve">Ajustes a la tarifa regular. </w:t>
            </w:r>
            <w:r>
              <w:t>La tarifa regular puede incluir bonos no discrecionales, diferenciales de turno y otros pagos exigidos por ley. Si trabaja con distintas tarifas o en varios sitios del cliente para Centrix durante la misma semana, se combinan las horas aplicables y se calculan las horas extras conforme a la ley.</w:t>
            </w:r>
          </w:p>
          <w:p>
            <w:r>
              <w:rPr>
                <w:b/>
              </w:rPr>
              <w:t xml:space="preserve">Autorización y registros. </w:t>
            </w:r>
            <w:r>
              <w:t>Obtenga autorización previa de Centrix y del sitio del cliente asignado antes de trabajar horas extras. Registre y entregue todas las horas con exactitud. Se pagará todo trabajo remunerable, aunque no esté autorizado; incumplir las reglas de autorización puede resultar en medidas correctivas. Nunca trabaje sin registrar el tiempo.</w:t>
            </w:r>
          </w:p>
          <w:p>
            <w:r>
              <w:rPr>
                <w:b/>
              </w:rPr>
              <w:t xml:space="preserve">Consultas y correcciones. </w:t>
            </w:r>
            <w:r>
              <w:t>Revise su comprobante de pago y reporte pronto a Centrix las horas faltantes o errores. Se prohíben las represalias por reportar inquietudes de pago. Prevalecen las leyes federales, estatales o locales y los acuerdos aplicables que otorguen mayor protección, incluidas horas extras diarias o primas superiores cuando correspondan.</w:t>
            </w:r>
          </w:p>
        </w:tc>
      </w:tr>
    </w:tbl>
    <w:p>
      <w:r>
        <w:t>Workweek begins (day/time) / Inicio de semana laboral (día/hora): _______________________</w:t>
        <w:br/>
        <w:t>Payday / Día de pago: ______________  Centrix payroll contact / Contacto de nómina: ______________</w:t>
      </w:r>
    </w:p>
    <w:p>
      <w:r>
        <w:t>Receipt only; no waiver of rights. / Solo acuse de recibo; no implica renuncia a derechos.</w:t>
        <w:br/>
        <w:t>Name / Nombre: __________________  Signature / Firma: __________________  Date / Fecha: __________</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