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Eyebrow"/>
      </w:pPr>
      <w:r>
        <w:rPr/>
        <w:t xml:space="preserve">NEW JERSEY | STAFFING AGENCY</w:t>
      </w:r>
    </w:p>
    <w:p>
      <w:pPr>
        <w:pStyle w:val="Title"/>
      </w:pPr>
      <w:r>
        <w:rPr/>
        <w:t xml:space="preserve">New-Hire Notice Punchlist</w:t>
      </w:r>
    </w:p>
    <w:p>
      <w:pPr>
        <w:pStyle w:val="Subtitle"/>
      </w:pPr>
      <w:r>
        <w:rPr/>
        <w:t xml:space="preserve">Updated October 15, 2026 • MW-23 completion recorded</w:t>
      </w:r>
    </w:p>
    <w:p>
      <w:pPr>
        <w:pStyle w:val="Field"/>
      </w:pPr>
      <w:r>
        <w:rPr/>
        <w:t xml:space="preserve">Employee: __________________________  Hire date: ______________</w:t>
      </w:r>
    </w:p>
    <w:p>
      <w:pPr>
        <w:pStyle w:val="Field"/>
      </w:pPr>
      <w:r>
        <w:rPr/>
        <w:t xml:space="preserve">Agency: ____________________________  Reviewer: ______________</w:t>
      </w:r>
    </w:p>
    <w:p>
      <w:pPr>
        <w:pStyle w:val="Field"/>
      </w:pPr>
      <w:r>
        <w:rPr/>
        <w:t xml:space="preserve">NJ worksite/client: __________________________________________</w:t>
      </w:r>
    </w:p>
    <w:p>
      <w:pPr>
        <w:pStyle w:val="Field"/>
      </w:pPr>
      <w:r>
        <w:rPr/>
        <w:t xml:space="preserve">Agency headcount worldwide: ______  Job title / SOC: ______________</w:t>
      </w:r>
    </w:p>
    <w:p>
      <w:pPr>
        <w:pStyle w:val="Heading1"/>
      </w:pPr>
      <w:r>
        <w:rPr/>
        <w:t xml:space="preserve">HOW TO USE</w:t>
      </w:r>
    </w:p>
    <w:p>
      <w:pPr>
        <w:pStyle w:val="Detail"/>
      </w:pPr>
      <w:r>
        <w:rPr/>
        <w:t xml:space="preserve">Alan reports MW-23 completed. Its fields are credited below; the completed copy and employee delivery were not reviewed. Keep delivery dates/proof separately. Pay rate is covered, but regular payday is not. MW-565 is a required MW-23 attachment—confirm it was included.</w:t>
      </w:r>
    </w:p>
    <w:p>
      <w:pPr>
        <w:pStyle w:val="Heading1"/>
      </w:pPr>
      <w:r>
        <w:rPr/>
        <w:t xml:space="preserve">A. GENERAL HIRE-TIME NOTICES</w:t>
      </w:r>
    </w:p>
    <w:p>
      <w:pPr>
        <w:pStyle w:val="Item"/>
        <w:keepNext/>
      </w:pPr>
      <w:sdt>
        <w:sdtPr>
          <w:id w:val="1001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1. Pay rate COMPLETE / regular payday still OPEN</w:t>
      </w:r>
    </w:p>
    <w:p>
      <w:pPr>
        <w:pStyle w:val="Detail"/>
      </w:pPr>
      <w:r>
        <w:rPr/>
        <w:t xml:space="preserve">☒ Pay rate / wages offered: completed on MW-23. ☐ Regular payday: not a field on MW-23; notify the employee separately and document it. The overall item stays open until the payday notification is completed. [S1, S12]</w:t>
      </w:r>
    </w:p>
    <w:p>
      <w:pPr>
        <w:pStyle w:val="Track"/>
      </w:pPr>
      <w:r>
        <w:rPr/>
        <w:t xml:space="preserve">Delivered/completed: Date __________  Initials ______</w:t>
      </w:r>
    </w:p>
    <w:p>
      <w:pPr>
        <w:pStyle w:val="Item"/>
        <w:keepNext/>
      </w:pPr>
      <w:sdt>
        <w:sdtPr>
          <w:id w:val="1002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2. Reporting &amp; Recordkeeping Requirements — MW-400</w:t>
      </w:r>
    </w:p>
    <w:p>
      <w:pPr>
        <w:pStyle w:val="Detail"/>
      </w:pPr>
      <w:r>
        <w:rPr/>
        <w:t xml:space="preserve">Give each new employee a written copy of the state notice covering employer obligations under wage, benefit and tax laws. Keep individual delivery evidence, not only evidence that it was posted. [S1, S2]</w:t>
      </w:r>
    </w:p>
    <w:p>
      <w:pPr>
        <w:pStyle w:val="Track"/>
      </w:pPr>
      <w:r>
        <w:rPr/>
        <w:t xml:space="preserve">Delivered/completed: Date __________  Initials ______</w:t>
      </w:r>
    </w:p>
    <w:p>
      <w:pPr>
        <w:pStyle w:val="Item"/>
        <w:keepNext/>
      </w:pPr>
      <w:sdt>
        <w:sdtPr>
          <w:id w:val="1003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3. Sick-leave explanation COMPLETE / MW-565 attachment check</w:t>
      </w:r>
    </w:p>
    <w:p>
      <w:pPr>
        <w:pStyle w:val="Detail"/>
      </w:pPr>
      <w:r>
        <w:rPr/>
        <w:t xml:space="preserve">☒ MW-23 sick-leave explanation: completed. ☐ Confirm its required MW-565 attachment was included, benefit-year dates completed and required language supplied. The official MW-23 download includes MW-565; if the full packet was supplied, mark this item complete without duplicating it. [S2, S3, S12]</w:t>
      </w:r>
    </w:p>
    <w:p>
      <w:pPr>
        <w:pStyle w:val="Track"/>
      </w:pPr>
      <w:r>
        <w:rPr/>
        <w:t xml:space="preserve">Delivered/completed: Date __________  Initials ______</w:t>
      </w:r>
    </w:p>
    <w:p>
      <w:pPr>
        <w:pStyle w:val="Item"/>
        <w:keepNext/>
      </w:pPr>
      <w:sdt>
        <w:sdtPr>
          <w:id w:val="1004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4. Family Leave Insurance — PR-2</w:t>
      </w:r>
    </w:p>
    <w:p>
      <w:pPr>
        <w:pStyle w:val="Detail"/>
      </w:pPr>
      <w:r>
        <w:rPr/>
        <w:t xml:space="preserve">Give covered employees the written Family Leave Insurance notice at hire. If a private family-leave plan applies, also complete item 9. FLI cash benefits and NJFLA job-protected leave are separate requirements. [S2, S4]</w:t>
      </w:r>
    </w:p>
    <w:p>
      <w:pPr>
        <w:pStyle w:val="Track"/>
      </w:pPr>
      <w:r>
        <w:rPr/>
        <w:t xml:space="preserve">Delivered/completed: Date __________  Initials ______</w:t>
      </w:r>
    </w:p>
    <w:p>
      <w:pPr>
        <w:pStyle w:val="Item"/>
        <w:keepNext/>
      </w:pPr>
      <w:sdt>
        <w:sdtPr>
          <w:id w:val="1005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5. Wage Theft Act / wage-and-hour rights statement</w:t>
      </w:r>
    </w:p>
    <w:p>
      <w:pPr>
        <w:pStyle w:val="Detail"/>
      </w:pPr>
      <w:r>
        <w:rPr/>
        <w:t xml:space="preserve">N.J.S.A. 34:11-58.3 requires the department-produced statement explaining employee rights and how to file a claim. REQUIREMENT VERIFIED; CURRENT DESIGNATED NJDOL FORM NOT LOCATED. Resolve the correct statement before closing this item; do not assume MW-400 alone satisfies it. [S1]</w:t>
      </w:r>
    </w:p>
    <w:p>
      <w:pPr>
        <w:pStyle w:val="Track"/>
      </w:pPr>
      <w:r>
        <w:rPr/>
        <w:t xml:space="preserve">Delivered/completed: Date __________  Initials ______</w:t>
      </w:r>
    </w:p>
    <w:p>
      <w:pPr>
        <w:pStyle w:val="Field"/>
      </w:pPr>
      <w:r>
        <w:rPr/>
        <w:t xml:space="preserve">Open issue / follow-up owner: __________________________________</w:t>
      </w:r>
    </w:p>
    <w:p>
      <w:pPr>
        <w:pageBreakBefore/>
        <w:pStyle w:val="Heading1"/>
      </w:pPr>
      <w:r>
        <w:rPr/>
        <w:t xml:space="preserve">B. CONDITIONAL HIRE / START-OF-WORK ITEMS</w:t>
      </w:r>
    </w:p>
    <w:p>
      <w:pPr>
        <w:pStyle w:val="Detail"/>
      </w:pPr>
      <w:r>
        <w:rPr/>
        <w:t xml:space="preserve">Mark each item delivered/completed or N/A. Size thresholds refer to the employer, not simply the employee’s branch or client worksite.</w:t>
      </w:r>
    </w:p>
    <w:p>
      <w:pPr>
        <w:pStyle w:val="Item"/>
        <w:keepNext/>
      </w:pPr>
      <w:sdt>
        <w:sdtPr>
          <w:id w:val="1006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6. Gender Equity Notice — AD-290</w:t>
      </w:r>
    </w:p>
    <w:p>
      <w:pPr>
        <w:pStyle w:val="Detail"/>
      </w:pPr>
      <w:r>
        <w:rPr/>
        <w:t xml:space="preserve">If the agency has 50+ employees, including outside NJ: give at hire and obtain a signed/electronic acknowledgment within 30 days. Also distribute annually by December 31 and upon request. Use required available language versions. [S1, S2]</w:t>
      </w:r>
    </w:p>
    <w:p>
      <w:pPr>
        <w:pStyle w:val="Track"/>
      </w:pPr>
      <w:r>
        <w:rPr/>
        <w:t xml:space="preserve">Status: ☐ Delivered/completed   ☐ N/A (reason below)   Date __________  Initials ______</w:t>
      </w:r>
    </w:p>
    <w:p>
      <w:pPr>
        <w:pStyle w:val="Item"/>
        <w:keepNext/>
      </w:pPr>
      <w:sdt>
        <w:sdtPr>
          <w:id w:val="1007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7. NJ Family Leave Act written guidance</w:t>
      </w:r>
    </w:p>
    <w:p>
      <w:pPr>
        <w:pStyle w:val="Detail"/>
      </w:pPr>
      <w:r>
        <w:rPr/>
        <w:t xml:space="preserve">If the employer is covered: include NJFLA rights/obligations in the benefits or leave handbook, or provide separate written guidance if no such handbook exists. Since July 17, 2026, private-employer coverage generally starts at 15 employees worldwide. This is not the same as immediate employee leave eligibility. [S5, S6]</w:t>
      </w:r>
    </w:p>
    <w:p>
      <w:pPr>
        <w:pStyle w:val="Track"/>
      </w:pPr>
      <w:r>
        <w:rPr/>
        <w:t xml:space="preserve">Status: ☐ Delivered/completed   ☐ N/A (reason below)   Date __________  Initials ______</w:t>
      </w:r>
    </w:p>
    <w:p>
      <w:pPr>
        <w:pStyle w:val="Item"/>
        <w:keepNext/>
      </w:pPr>
      <w:sdt>
        <w:sdtPr>
          <w:id w:val="1008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8. Approved private Temporary Disability plan notice</w:t>
      </w:r>
    </w:p>
    <w:p>
      <w:pPr>
        <w:pStyle w:val="Detail"/>
      </w:pPr>
      <w:r>
        <w:rPr/>
        <w:t xml:space="preserve">If private TDI coverage applies: give the approved plan notice at hire, including current rates, eligibility, benefits, rights/appeals, plan contacts and claim instructions. A generic state-program poster is not a substitute for the private-plan notice. [S7]</w:t>
      </w:r>
    </w:p>
    <w:p>
      <w:pPr>
        <w:pStyle w:val="Track"/>
      </w:pPr>
      <w:r>
        <w:rPr/>
        <w:t xml:space="preserve">Status: ☐ Delivered/completed   ☐ N/A (reason below)   Date __________  Initials ______</w:t>
      </w:r>
    </w:p>
    <w:p>
      <w:pPr>
        <w:pStyle w:val="Item"/>
        <w:keepNext/>
      </w:pPr>
      <w:sdt>
        <w:sdtPr>
          <w:id w:val="1009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9. Approved private Family Leave Insurance plan notice</w:t>
      </w:r>
    </w:p>
    <w:p>
      <w:pPr>
        <w:pStyle w:val="Detail"/>
      </w:pPr>
      <w:r>
        <w:rPr/>
        <w:t xml:space="preserve">If private FLI coverage applies: furnish the approved private-plan notice at hire, with current eligibility, benefit, appeal and claim/contact information. Track this separately from private TDI. [S4]</w:t>
      </w:r>
    </w:p>
    <w:p>
      <w:pPr>
        <w:pStyle w:val="Track"/>
      </w:pPr>
      <w:r>
        <w:rPr/>
        <w:t xml:space="preserve">Status: ☐ Delivered/completed   ☐ N/A (reason below)   Date __________  Initials ______</w:t>
      </w:r>
    </w:p>
    <w:p>
      <w:pPr>
        <w:pStyle w:val="Item"/>
        <w:keepNext/>
      </w:pPr>
      <w:sdt>
        <w:sdtPr>
          <w:id w:val="1010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10. Payroll debit-card disclosures and consent</w:t>
      </w:r>
    </w:p>
    <w:p>
      <w:pPr>
        <w:pStyle w:val="Detail"/>
      </w:pPr>
      <w:r>
        <w:rPr/>
        <w:t xml:space="preserve">If paying by payroll card: disclose fees/features and how to withdraw full wages without a fee at least once each pay period; obtain written employee consent. Card acceptance cannot be a condition of hire or continued employment. [S1: N.J.A.C. 12:55-2.4]</w:t>
      </w:r>
    </w:p>
    <w:p>
      <w:pPr>
        <w:pStyle w:val="Track"/>
      </w:pPr>
      <w:r>
        <w:rPr/>
        <w:t xml:space="preserve">Status: ☐ Delivered/completed   ☐ N/A (reason below)   Date __________  Initials ______</w:t>
      </w:r>
    </w:p>
    <w:p>
      <w:pPr>
        <w:pStyle w:val="Item"/>
        <w:keepNext/>
      </w:pPr>
      <w:sdt>
        <w:sdtPr>
          <w:id w:val="1011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11. Vehicle-tracking notice</w:t>
      </w:r>
    </w:p>
    <w:p>
      <w:pPr>
        <w:pStyle w:val="Detail"/>
      </w:pPr>
      <w:r>
        <w:rPr/>
        <w:t xml:space="preserve">If covered vehicle tracking will be used: provide written notice before tracking begins. This is a situation-specific notice, not a general notice for every office employee. [S8: N.J.S.A. 34:6B-22]</w:t>
      </w:r>
    </w:p>
    <w:p>
      <w:pPr>
        <w:pStyle w:val="Track"/>
      </w:pPr>
      <w:r>
        <w:rPr/>
        <w:t xml:space="preserve">Status: ☐ Delivered/completed   ☐ N/A (reason below)   Date __________  Initials ______</w:t>
      </w:r>
    </w:p>
    <w:p>
      <w:pPr>
        <w:pStyle w:val="Item"/>
        <w:keepNext/>
      </w:pPr>
      <w:sdt>
        <w:sdtPr>
          <w:id w:val="1012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12. Tip-credit / tip-pooling disclosures</w:t>
      </w:r>
    </w:p>
    <w:p>
      <w:pPr>
        <w:pStyle w:val="Detail"/>
      </w:pPr>
      <w:r>
        <w:rPr/>
        <w:t xml:space="preserve">If applicable: before taking a tip credit, disclose the cash wage, credit amount and required tip-retention rights. Notify employees of mandatory tip-pool contributions. [S9]</w:t>
      </w:r>
    </w:p>
    <w:p>
      <w:pPr>
        <w:pStyle w:val="Track"/>
      </w:pPr>
      <w:r>
        <w:rPr/>
        <w:t xml:space="preserve">Status: ☐ Delivered/completed   ☐ N/A (reason below)   Date __________  Initials ______</w:t>
      </w:r>
    </w:p>
    <w:p>
      <w:pPr>
        <w:pStyle w:val="Item"/>
        <w:keepNext/>
      </w:pPr>
      <w:sdt>
        <w:sdtPr>
          <w:id w:val="1013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13. Domestic-worker placement documents</w:t>
      </w:r>
    </w:p>
    <w:p>
      <w:pPr>
        <w:pStyle w:val="Detail"/>
      </w:pPr>
      <w:r>
        <w:rPr/>
        <w:t xml:space="preserve">If placing covered domestic workers: provide required rights/complaint information and workers’ compensation coverage notice; arrange the required written contract where applicable. NJDOL’s current page says the prescribed rights notice is forthcoming. Confirm agency/household responsibilities. [S10]</w:t>
      </w:r>
    </w:p>
    <w:p>
      <w:pPr>
        <w:pStyle w:val="Track"/>
      </w:pPr>
      <w:r>
        <w:rPr/>
        <w:t xml:space="preserve">Status: ☐ Delivered/completed   ☐ N/A (reason below)   Date __________  Initials ______</w:t>
      </w:r>
    </w:p>
    <w:p>
      <w:pPr>
        <w:pStyle w:val="Heading1"/>
      </w:pPr>
      <w:r>
        <w:rPr/>
        <w:t xml:space="preserve">N/A reasons / missing documents / assigned owner:</w:t>
      </w:r>
    </w:p>
    <w:p>
      <w:pPr>
        <w:pStyle w:val="Field"/>
      </w:pPr>
      <w:r>
        <w:rPr/>
        <w:t xml:space="preserve">____________________________________________________________</w:t>
      </w:r>
    </w:p>
    <w:p>
      <w:pPr>
        <w:pageBreakBefore/>
        <w:pStyle w:val="Heading1"/>
      </w:pPr>
      <w:r>
        <w:rPr/>
        <w:t xml:space="preserve">C. COVERED TEMPORARY-LABOR ASSIGNMENTS</w:t>
      </w:r>
    </w:p>
    <w:p>
      <w:pPr>
        <w:pStyle w:val="Detail"/>
      </w:pPr>
      <w:r>
        <w:rPr/>
        <w:t xml:space="preserve">The Temporary Workers’ Bill of Rights applies only to designated occupational classifications—not all staffing placements. Ordinary CSR, clerical, accounting, analyst and IT roles generally fall outside these categories; classify the actual duties. [S11]</w:t>
      </w:r>
    </w:p>
    <w:p>
      <w:pPr>
        <w:pStyle w:val="Item"/>
        <w:keepNext/>
      </w:pPr>
      <w:sdt>
        <w:sdtPr>
          <w:id w:val="1014"/>
          <w14:checkbox>
            <w14:checked w14:val="1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☒</w:t>
          </w:r>
        </w:sdtContent>
      </w:sdt>
      <w:r>
        <w:rPr>
          <w:b/>
        </w:rPr>
        <w:t xml:space="preserve">  14. Assignment Notification — MW-23: COMPLETED</w:t>
      </w:r>
    </w:p>
    <w:p>
      <w:pPr>
        <w:pStyle w:val="Detail"/>
      </w:pPr>
      <w:r>
        <w:rPr/>
        <w:t xml:space="preserve">COMPLETED per Alan for the existing form/assignment. Covered fields credited below, including applicable yes/no or N/A entries. Retain the completed packet and record employee delivery separately. New assignments or required changes may need a new/updated form. [S11, S12]</w:t>
      </w:r>
    </w:p>
    <w:p>
      <w:pPr>
        <w:pStyle w:val="Track"/>
      </w:pPr>
      <w:r>
        <w:rPr/>
        <w:t xml:space="preserve">MW-23 completed per Alan; employee delivery date __________  Initials ______</w:t>
      </w:r>
    </w:p>
    <w:p>
      <w:pPr>
        <w:pStyle w:val="Small"/>
      </w:pPr>
      <w:r>
        <w:rPr/>
        <w:t xml:space="preserve">☒ Worker / agency / client / worksite details; workers’ compensation carrier contacts.</w:t>
        <w:br/>
        <w:t xml:space="preserve">☒ Wages offered; name/nature of work; position duties; schedule and duration.</w:t>
        <w:br/>
        <w:t xml:space="preserve">☒ Meals, equipment, special clothing, protective equipment, other supplies and costs.</w:t>
        <w:br/>
        <w:t xml:space="preserve">☒ Training and costs; required licenses; transportation terms; sick-leave explanation.</w:t>
      </w:r>
    </w:p>
    <w:p>
      <w:pPr>
        <w:pStyle w:val="Item"/>
        <w:keepNext/>
      </w:pPr>
      <w:sdt>
        <w:sdtPr>
          <w:id w:val="1015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15. Labor-dispute notice at dispatch</w:t>
      </w:r>
    </w:p>
    <w:p>
      <w:pPr>
        <w:pStyle w:val="Detail"/>
      </w:pPr>
      <w:r>
        <w:rPr/>
        <w:t xml:space="preserve">If a covered assignment involves a strike, lockout or other labor dispute: give written notice describing the dispute and the worker’s right to refuse the assignment. This is assignment-specific. [S11]</w:t>
      </w:r>
    </w:p>
    <w:p>
      <w:pPr>
        <w:pStyle w:val="Track"/>
      </w:pPr>
      <w:r>
        <w:rPr/>
        <w:t xml:space="preserve">Status: ☐ Delivered/completed   ☐ N/A (reason below)   Date __________  Initials ______</w:t>
      </w:r>
    </w:p>
    <w:p>
      <w:pPr>
        <w:pStyle w:val="Heading1"/>
      </w:pPr>
      <w:r>
        <w:rPr/>
        <w:t xml:space="preserve">D. KEEP SEPARATE FROM THE NEW-HIRE PACKET</w:t>
      </w:r>
    </w:p>
    <w:p>
      <w:pPr>
        <w:pStyle w:val="Small"/>
      </w:pPr>
      <w:r>
        <w:rPr/>
        <w:t xml:space="preserve">• CEPA / whistleblower notice (AD-270): annual distribution for employers with 10+ employees; it is not a universal hire-time handout.</w:t>
        <w:br/>
        <w:t xml:space="preserve">• Covered multi-day assignments: give 48 hours’ advance notice of schedule, shift or location changes when possible; provide written work-seeking confirmation upon request when the worker is not placed.</w:t>
        <w:br/>
        <w:t xml:space="preserve">• Maintain required workplace postings separately. New-hire reporting to the State is an employer filing, not a notice handed to the employee. Federal notices, benefit-plan documents and client-contract requirements are outside this NJ-state punchlist.</w:t>
      </w:r>
    </w:p>
    <w:p>
      <w:pPr>
        <w:pStyle w:val="Heading1"/>
      </w:pPr>
      <w:r>
        <w:rPr/>
        <w:t xml:space="preserve">CLOSEOUT</w:t>
      </w:r>
    </w:p>
    <w:p>
      <w:pPr>
        <w:pStyle w:val="Detail"/>
      </w:pPr>
      <w:r>
        <w:rPr/>
        <w:t xml:space="preserve">☐ All applicable items completed   ☐ Open items listed; packet not closed</w:t>
      </w:r>
    </w:p>
    <w:p>
      <w:pPr>
        <w:pStyle w:val="Field"/>
      </w:pPr>
      <w:r>
        <w:rPr/>
        <w:t xml:space="preserve">Reviewer/signature: __________________________  Date: __________</w:t>
      </w:r>
    </w:p>
    <w:p>
      <w:pPr>
        <w:pStyle w:val="Heading1"/>
      </w:pPr>
      <w:r>
        <w:rPr/>
        <w:t xml:space="preserve">SOURCE LINKS / FORM LOCATOR</w:t>
      </w:r>
    </w:p>
    <w:p>
      <w:pPr>
        <w:pStyle w:val="Source"/>
      </w:pPr>
      <w:hyperlink r:id="rId10">
        <w:r>
          <w:rPr>
            <w:color w:val="176A83"/>
          </w:rPr>
          <w:t xml:space="preserve">S1  NJDOL wage-payment, wage-theft and notice laws / regulations</w:t>
        </w:r>
      </w:hyperlink>
    </w:p>
    <w:p>
      <w:pPr>
        <w:pStyle w:val="Source"/>
      </w:pPr>
      <w:hyperlink r:id="rId11">
        <w:r>
          <w:rPr>
            <w:color w:val="176A83"/>
          </w:rPr>
          <w:t xml:space="preserve">S2  NJDOL official notice downloads: MW-400, MW-565, PR-2, AD-290, CEPA</w:t>
        </w:r>
      </w:hyperlink>
    </w:p>
    <w:p>
      <w:pPr>
        <w:pStyle w:val="Source"/>
      </w:pPr>
      <w:hyperlink r:id="rId12">
        <w:r>
          <w:rPr>
            <w:color w:val="176A83"/>
          </w:rPr>
          <w:t xml:space="preserve">S3  NJ Earned Sick Leave: coverage, benefit year and employee notice</w:t>
        </w:r>
      </w:hyperlink>
    </w:p>
    <w:p>
      <w:pPr>
        <w:pStyle w:val="Source"/>
      </w:pPr>
      <w:hyperlink r:id="rId13">
        <w:r>
          <w:rPr>
            <w:color w:val="176A83"/>
          </w:rPr>
          <w:t xml:space="preserve">S4  Family Leave Insurance / private-plan notice: N.J.A.C. 12:21-1.8</w:t>
        </w:r>
      </w:hyperlink>
    </w:p>
    <w:p>
      <w:pPr>
        <w:pStyle w:val="Source"/>
      </w:pPr>
      <w:hyperlink r:id="rId14">
        <w:r>
          <w:rPr>
            <w:color w:val="176A83"/>
          </w:rPr>
          <w:t xml:space="preserve">S5  NJFLA written employee guidance: N.J.A.C. 13:14-1.14</w:t>
        </w:r>
      </w:hyperlink>
    </w:p>
    <w:p>
      <w:pPr>
        <w:pStyle w:val="Source"/>
      </w:pPr>
      <w:hyperlink r:id="rId15">
        <w:r>
          <w:rPr>
            <w:color w:val="176A83"/>
          </w:rPr>
          <w:t xml:space="preserve">S6  NJDOL July 2026 expansion / 15-employee NJFLA threshold</w:t>
        </w:r>
      </w:hyperlink>
    </w:p>
    <w:p>
      <w:pPr>
        <w:pStyle w:val="Source"/>
      </w:pPr>
      <w:hyperlink r:id="rId16">
        <w:r>
          <w:rPr>
            <w:color w:val="176A83"/>
          </w:rPr>
          <w:t xml:space="preserve">S7  Private TDI notice: N.J.A.C. 12:18-2.38</w:t>
        </w:r>
      </w:hyperlink>
    </w:p>
    <w:p>
      <w:pPr>
        <w:pStyle w:val="Source"/>
      </w:pPr>
      <w:hyperlink r:id="rId17">
        <w:r>
          <w:rPr>
            <w:color w:val="176A83"/>
          </w:rPr>
          <w:t xml:space="preserve">S8  Vehicle-tracking notice statute: N.J.S.A. 34:6B-22</w:t>
        </w:r>
      </w:hyperlink>
    </w:p>
    <w:p>
      <w:pPr>
        <w:pStyle w:val="Source"/>
      </w:pPr>
      <w:hyperlink r:id="rId18">
        <w:r>
          <w:rPr>
            <w:color w:val="176A83"/>
          </w:rPr>
          <w:t xml:space="preserve">S9  Tip-credit and tip-pool disclosures: N.J.A.C. 12:56-3.5</w:t>
        </w:r>
      </w:hyperlink>
    </w:p>
    <w:p>
      <w:pPr>
        <w:pStyle w:val="Source"/>
      </w:pPr>
      <w:hyperlink r:id="rId19">
        <w:r>
          <w:rPr>
            <w:color w:val="176A83"/>
          </w:rPr>
          <w:t xml:space="preserve">S10  NJDOL domestic-worker employer duties / model contract</w:t>
        </w:r>
      </w:hyperlink>
    </w:p>
    <w:p>
      <w:pPr>
        <w:pStyle w:val="Source"/>
      </w:pPr>
      <w:hyperlink r:id="rId20">
        <w:r>
          <w:rPr>
            <w:color w:val="176A83"/>
          </w:rPr>
          <w:t xml:space="preserve">S11  NJDOL temporary-worker coverage and assignment notices</w:t>
        </w:r>
      </w:hyperlink>
    </w:p>
    <w:p>
      <w:pPr>
        <w:pStyle w:val="Source"/>
      </w:pPr>
      <w:hyperlink r:id="rId21">
        <w:r>
          <w:rPr>
            <w:color w:val="176A83"/>
          </w:rPr>
          <w:t xml:space="preserve">S12  Official MW-23 form and required MW-565 attachment (3-page PDF)</w:t>
        </w:r>
      </w:hyperlink>
    </w:p>
    <w:p>
      <w:pPr>
        <w:pStyle w:val="Small"/>
      </w:pPr>
      <w:r>
        <w:rPr/>
        <w:t xml:space="preserve">Updated from Alan’s MW-23 completion report and the official form. Completion marks are not independent verification of delivery or attachment inclusion. Separate notices remain open unless independently completed; recheck current coverage/forms before use.</w:t>
      </w:r>
    </w:p>
    <w:sectPr>
      <w:headerReference w:type="default" r:id="rIdHeader"/>
      <w:footerReference w:type="default" r:id="rIdFooter"/>
      <w:pgSz w:w="12240" w:h="15840"/>
      <w:pgMar w:top="900" w:right="900" w:bottom="850" w:left="900" w:header="360" w:footer="360"/>
    </w:sectPr>
  </w:body>
</w:document>
</file>

<file path=word/footer1.xml><?xml version="1.0" encoding="utf-8"?>
<w:ftr xmlns:w="http://schemas.openxmlformats.org/wordprocessingml/2006/main">
  <w:p>
    <w:r>
      <w:rPr>
        <w:sz w:val="16"/>
        <w:color w:val="667A87"/>
      </w:rPr>
      <w:t xml:space="preserve">NJ new-hire notice punchlist • 2026-10-15     |     Page </w:t>
    </w:r>
    <w:fldSimple w:instr="PAGE"/>
    <w:r>
      <w:rPr>
        <w:sz w:val="16"/>
      </w:rPr>
      <w:t xml:space="preserve"> of </w:t>
    </w:r>
    <w:fldSimple w:instr="NUMPAGES"/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667A87"/>
      </w:rPr>
      <w:t xml:space="preserve">NJ STAFFING | EMPLOYEE NOTICE DELIVERY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  <w:color w:val="253746"/>
      </w:rPr>
    </w:rPrDefault>
    <w:pPrDefault>
      <w:pPr>
        <w:spacing w:after="90" w:line="245" w:lineRule="auto"/>
      </w:pPr>
    </w:pPrDefault>
  </w:docDefaults>
  <w:style w:type="paragraph" w:styleId="Title">
    <w:name w:val="Title"/>
    <w:pPr>
      <w:spacing w:before="0" w:after="100" w:line="230" w:lineRule="auto"/>
    </w:pPr>
    <w:rPr>
      <w:sz w:val="37"/>
      <w:color w:val="173E55"/>
      <w:b/>
    </w:rPr>
  </w:style>
  <w:style w:type="paragraph" w:styleId="Eyebrow">
    <w:name w:val="Eyebrow"/>
    <w:pPr>
      <w:spacing w:before="0" w:after="65" w:line="230" w:lineRule="auto"/>
    </w:pPr>
    <w:rPr>
      <w:sz w:val="20"/>
      <w:color w:val="17768D"/>
      <w:b/>
    </w:rPr>
  </w:style>
  <w:style w:type="paragraph" w:styleId="Subtitle">
    <w:name w:val="Subtitle"/>
    <w:pPr>
      <w:spacing w:before="0" w:after="180" w:line="230" w:lineRule="auto"/>
    </w:pPr>
    <w:rPr>
      <w:sz w:val="20"/>
      <w:color w:val="5E6E79"/>
    </w:rPr>
  </w:style>
  <w:style w:type="paragraph" w:styleId="Heading1">
    <w:name w:val="Heading1"/>
    <w:pPr>
      <w:spacing w:before="150" w:after="90" w:line="230" w:lineRule="auto"/>
      <w:keepNext/>
    </w:pPr>
    <w:rPr>
      <w:sz w:val="23"/>
      <w:color w:val="176A83"/>
      <w:b/>
    </w:rPr>
  </w:style>
  <w:style w:type="paragraph" w:styleId="Item">
    <w:name w:val="Item"/>
    <w:pPr>
      <w:spacing w:before="90" w:after="45" w:line="230" w:lineRule="auto"/>
      <w:keepNext/>
    </w:pPr>
    <w:rPr>
      <w:sz w:val="22"/>
      <w:color w:val="173E55"/>
      <w:b/>
    </w:rPr>
  </w:style>
  <w:style w:type="paragraph" w:styleId="Detail">
    <w:name w:val="Detail"/>
    <w:pPr>
      <w:spacing w:before="0" w:after="45" w:line="230" w:lineRule="auto"/>
    </w:pPr>
    <w:rPr>
      <w:sz w:val="20"/>
      <w:color w:val="253746"/>
    </w:rPr>
  </w:style>
  <w:style w:type="paragraph" w:styleId="Track">
    <w:name w:val="Track"/>
    <w:pPr>
      <w:spacing w:before="0" w:after="60" w:line="230" w:lineRule="auto"/>
    </w:pPr>
    <w:rPr>
      <w:sz w:val="18"/>
      <w:color w:val="526472"/>
    </w:rPr>
  </w:style>
  <w:style w:type="paragraph" w:styleId="Field">
    <w:name w:val="Field"/>
    <w:pPr>
      <w:spacing w:before="0" w:after="100" w:line="230" w:lineRule="auto"/>
    </w:pPr>
    <w:rPr>
      <w:sz w:val="20"/>
      <w:color w:val="253746"/>
    </w:rPr>
  </w:style>
  <w:style w:type="paragraph" w:styleId="Small">
    <w:name w:val="Small"/>
    <w:pPr>
      <w:spacing w:before="0" w:after="70" w:line="230" w:lineRule="auto"/>
    </w:pPr>
    <w:rPr>
      <w:sz w:val="17"/>
      <w:color w:val="526472"/>
    </w:rPr>
  </w:style>
  <w:style w:type="paragraph" w:styleId="Source">
    <w:name w:val="Source"/>
    <w:pPr>
      <w:spacing w:before="0" w:after="30" w:line="230" w:lineRule="auto"/>
    </w:pPr>
    <w:rPr>
      <w:sz w:val="17"/>
      <w:color w:val="176A83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10" Type="http://schemas.openxmlformats.org/officeDocument/2006/relationships/hyperlink" Target="https://www.nj.gov/labor/wageandhour/tools-resources/laws/selectedstatelaborlaws.shtml" TargetMode="External"/><Relationship Id="rId11" Type="http://schemas.openxmlformats.org/officeDocument/2006/relationships/hyperlink" Target="https://www.nj.gov/labor/wageandhour/tools-resources/forms-publications/employer-poster-packet/" TargetMode="External"/><Relationship Id="rId12" Type="http://schemas.openxmlformats.org/officeDocument/2006/relationships/hyperlink" Target="https://www.nj.gov/labor/myworkrights/leave-benefits/sick-leave/law.shtml" TargetMode="External"/><Relationship Id="rId13" Type="http://schemas.openxmlformats.org/officeDocument/2006/relationships/hyperlink" Target="https://www.law.cornell.edu/regulations/new-jersey/N-J-A-C-12-21-1-8" TargetMode="External"/><Relationship Id="rId14" Type="http://schemas.openxmlformats.org/officeDocument/2006/relationships/hyperlink" Target="https://www.law.cornell.edu/regulations/new-jersey/N-J-A-C-13-14-1-14" TargetMode="External"/><Relationship Id="rId15" Type="http://schemas.openxmlformats.org/officeDocument/2006/relationships/hyperlink" Target="https://www.nj.gov/labor/lwdhome/press/2026/20260715_moreprotections.shtml" TargetMode="External"/><Relationship Id="rId16" Type="http://schemas.openxmlformats.org/officeDocument/2006/relationships/hyperlink" Target="https://www.law.cornell.edu/regulations/new-jersey/N-J-A-C-12-18-2-38" TargetMode="External"/><Relationship Id="rId17" Type="http://schemas.openxmlformats.org/officeDocument/2006/relationships/hyperlink" Target="https://lis.njleg.state.nj.us/nxt/gateway.dll/statutes/1/29560/30581" TargetMode="External"/><Relationship Id="rId18" Type="http://schemas.openxmlformats.org/officeDocument/2006/relationships/hyperlink" Target="https://www.law.cornell.edu/regulations/new-jersey/N-J-A-C-12-56-3-5" TargetMode="External"/><Relationship Id="rId19" Type="http://schemas.openxmlformats.org/officeDocument/2006/relationships/hyperlink" Target="https://www.nj.gov/labor/myworkrights/worker-protections/domestic_workers/domesticworkerrights_employers.shtml" TargetMode="External"/><Relationship Id="rId20" Type="http://schemas.openxmlformats.org/officeDocument/2006/relationships/hyperlink" Target="https://www.nj.gov/labor/myworkrights/worker-protections/temp_workers/" TargetMode="External"/><Relationship Id="rId21" Type="http://schemas.openxmlformats.org/officeDocument/2006/relationships/hyperlink" Target="https://www.nj.gov/labor/wageandhour/assets/PDFs/MW-23%20%284-23%29.pdf" TargetMode="External"/></Relationships>
</file>