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Workers’ Compensation Insurance Requirements</w:t>
      </w:r>
    </w:p>
    <w:p>
      <w:pPr>
        <w:pStyle w:val="Subtitle"/>
      </w:pPr>
      <w:r>
        <w:t>Indeed Flex, Inc. / CORT Trade — Broker Review Request</w:t>
      </w:r>
    </w:p>
    <w:p>
      <w:r>
        <w:t>Please review Sections 7(b) and 7(e) of the Indeed Flex agreement and confirm the following for Norristown On-Site, Inc. d/b/a Centrix Staffing, including employees covered through our employee-leasing arrangement.</w:t>
      </w:r>
    </w:p>
    <w:p>
      <w:pPr>
        <w:pStyle w:val="ListNumber"/>
      </w:pPr>
      <w:r>
        <w:rPr>
          <w:b/>
        </w:rPr>
        <w:t xml:space="preserve">Workers’ Compensation: </w:t>
      </w:r>
      <w:r>
        <w:t>Statutory limits in each state where assigned employees work, including occupational illness or disease coverage.</w:t>
      </w:r>
    </w:p>
    <w:p>
      <w:pPr>
        <w:pStyle w:val="ListNumber"/>
      </w:pPr>
      <w:r>
        <w:rPr>
          <w:b/>
        </w:rPr>
        <w:t xml:space="preserve">Employer’s Liability: </w:t>
      </w:r>
      <w:r>
        <w:t>Minimum $1,000,000 per occurrence, as stated in the agreement.</w:t>
      </w:r>
    </w:p>
    <w:p>
      <w:pPr>
        <w:pStyle w:val="ListNumber"/>
      </w:pPr>
      <w:r>
        <w:rPr>
          <w:b/>
        </w:rPr>
        <w:t xml:space="preserve">Alternate Employer Endorsement: </w:t>
      </w:r>
      <w:r>
        <w:t>In favor of CORT Trade.</w:t>
      </w:r>
    </w:p>
    <w:p>
      <w:pPr>
        <w:pStyle w:val="ListNumber"/>
      </w:pPr>
      <w:r>
        <w:rPr>
          <w:b/>
        </w:rPr>
        <w:t xml:space="preserve">Waiver of Subrogation: </w:t>
      </w:r>
      <w:r>
        <w:t>In favor of Indeed Flex, Inc. and CORT Trade, including their officers, directors, and employees.</w:t>
      </w:r>
    </w:p>
    <w:p>
      <w:pPr>
        <w:pStyle w:val="ListNumber"/>
      </w:pPr>
      <w:r>
        <w:rPr>
          <w:b/>
        </w:rPr>
        <w:t xml:space="preserve">Employer’s Liability Additional Insured: </w:t>
      </w:r>
      <w:r>
        <w:t>The agreement requests additional-insured status for Indeed Flex, Inc. and CORT Trade. Please confirm whether this can be provided and identify the applicable endorsement or alternative.</w:t>
      </w:r>
    </w:p>
    <w:p>
      <w:pPr>
        <w:pStyle w:val="ListNumber"/>
      </w:pPr>
      <w:r>
        <w:rPr>
          <w:b/>
        </w:rPr>
        <w:t xml:space="preserve">Primary and Noncontributory: </w:t>
      </w:r>
      <w:r>
        <w:t>Coverage must be primary and noncontributory to insurance or self-insurance maintained by Indeed Flex and CORT Trade.</w:t>
      </w:r>
    </w:p>
    <w:p>
      <w:pPr>
        <w:pStyle w:val="ListNumber"/>
      </w:pPr>
      <w:r>
        <w:rPr>
          <w:b/>
        </w:rPr>
        <w:t xml:space="preserve">Coverage Duration: </w:t>
      </w:r>
      <w:r>
        <w:t>During the agreement and for 12 months afterward.</w:t>
      </w:r>
    </w:p>
    <w:p>
      <w:pPr>
        <w:pStyle w:val="ListNumber"/>
      </w:pPr>
      <w:r>
        <w:rPr>
          <w:b/>
        </w:rPr>
        <w:t xml:space="preserve">Change/Cancellation Notice: </w:t>
      </w:r>
      <w:r>
        <w:t>The agreement requires Centrix to endeavor to provide 30 days’ written notice of material changes, alterations, or cancellation.</w:t>
      </w:r>
    </w:p>
    <w:p>
      <w:pPr>
        <w:pStyle w:val="ListNumber"/>
      </w:pPr>
      <w:r>
        <w:rPr>
          <w:b/>
        </w:rPr>
        <w:t xml:space="preserve">Documentation: </w:t>
      </w:r>
      <w:r>
        <w:t>Please provide a certificate of insurance and supporting endorsements confirming these requirements.</w:t>
      </w:r>
    </w:p>
    <w:p>
      <w:r>
        <w:rPr>
          <w:b/>
        </w:rPr>
        <w:t xml:space="preserve">Exceptions or unavailable wording: </w:t>
      </w:r>
      <w:r>
        <w:t>Please identify any requirement that is unavailable, inapplicable, or requires different policy wording so we can obtain Indeed Flex’s written acceptance of any exception.</w:t>
      </w:r>
    </w:p>
    <w:p>
      <w:r>
        <w:t>Scope: This request concerns Workers’ Compensation and Employer’s Liability only. The agreement’s loss-payee requirement applies separately to Fidelity/Crime coverage.</w:t>
      </w:r>
    </w:p>
    <w:p>
      <w:r>
        <w:t>Centrix contact: Berlinda Diaz | 201-330-8881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