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General Liability &amp; Fidelity/Crime Requirements</w:t>
      </w:r>
    </w:p>
    <w:p>
      <w:pPr>
        <w:pStyle w:val="Subtitle"/>
      </w:pPr>
      <w:r>
        <w:t>Indeed Flex, Inc. / CORT Trade — Broker Review Request</w:t>
      </w:r>
    </w:p>
    <w:p>
      <w:r>
        <w:t>Insured: Norristown On-Site, Inc. d/b/a Centrix Staffing</w:t>
        <w:br/>
        <w:t>Source: Indeed Flex Agency Agreement, Section 7(a), (d) and (e), printed page 6.</w:t>
      </w:r>
    </w:p>
    <w:p>
      <w:pPr>
        <w:pStyle w:val="Heading2"/>
      </w:pPr>
      <w:r>
        <w:t>1. Commercial General Liability — §7(a), §7(e)</w:t>
      </w:r>
    </w:p>
    <w:p>
      <w:pPr>
        <w:pStyle w:val="ListBullet"/>
      </w:pPr>
      <w:r>
        <w:rPr>
          <w:b/>
        </w:rPr>
        <w:t xml:space="preserve">Limits: </w:t>
      </w:r>
      <w:r>
        <w:t>$2,000,000 per occurrence / $2,000,000 aggregate, unless otherwise agreed in writing. A combination of primary and umbrella/excess policies may satisfy these limits.</w:t>
      </w:r>
    </w:p>
    <w:p>
      <w:pPr>
        <w:pStyle w:val="ListBullet"/>
      </w:pPr>
      <w:r>
        <w:rPr>
          <w:b/>
        </w:rPr>
        <w:t xml:space="preserve">Required coverage: </w:t>
      </w:r>
      <w:r>
        <w:t>Premises, products, completed operations liability, personal injury, contractual liability, and broad-form property damage liability coverage for bodily injury or property damage.</w:t>
      </w:r>
    </w:p>
    <w:p>
      <w:pPr>
        <w:pStyle w:val="ListBullet"/>
      </w:pPr>
      <w:r>
        <w:rPr>
          <w:b/>
        </w:rPr>
        <w:t xml:space="preserve">Additional insureds: </w:t>
      </w:r>
      <w:r>
        <w:t>Indeed Flex, Inc. and the client, CORT Trade, for this assignment.</w:t>
      </w:r>
    </w:p>
    <w:p>
      <w:pPr>
        <w:pStyle w:val="Heading2"/>
      </w:pPr>
      <w:r>
        <w:t>2. Fidelity/Crime — §7(d)</w:t>
      </w:r>
    </w:p>
    <w:p>
      <w:pPr>
        <w:pStyle w:val="ListBullet"/>
      </w:pPr>
      <w:r>
        <w:rPr>
          <w:b/>
        </w:rPr>
        <w:t xml:space="preserve">Coverage and limit: </w:t>
      </w:r>
      <w:r>
        <w:t>Fidelity/Crime insurance or an Employee Dishonesty Bond covering acts of dishonesty by Centrix’s employees, with limits of at least $1,000,000 per occurrence.</w:t>
      </w:r>
    </w:p>
    <w:p>
      <w:pPr>
        <w:pStyle w:val="ListBullet"/>
      </w:pPr>
      <w:r>
        <w:rPr>
          <w:b/>
        </w:rPr>
        <w:t xml:space="preserve">Third-party coverage: </w:t>
      </w:r>
      <w:r>
        <w:t>Expressly required.</w:t>
      </w:r>
    </w:p>
    <w:p>
      <w:pPr>
        <w:pStyle w:val="ListBullet"/>
      </w:pPr>
      <w:r>
        <w:rPr>
          <w:b/>
        </w:rPr>
        <w:t xml:space="preserve">Loss payees: </w:t>
      </w:r>
      <w:r>
        <w:t>Indeed Flex, Inc. and CORT Trade where they have an insurable interest. This requirement applies to Fidelity/Crime, not General Liability.</w:t>
      </w:r>
    </w:p>
    <w:p>
      <w:pPr>
        <w:pStyle w:val="Heading2"/>
      </w:pPr>
      <w:r>
        <w:t>3. General insurance conditions — §7</w:t>
      </w:r>
    </w:p>
    <w:p>
      <w:pPr>
        <w:pStyle w:val="ListBullet"/>
      </w:pPr>
      <w:r>
        <w:rPr>
          <w:b/>
        </w:rPr>
        <w:t xml:space="preserve">Waiver of subrogation: </w:t>
      </w:r>
      <w:r>
        <w:t>In favor of Indeed Flex and CORT Trade, including their officers, directors and employees. Section 7(e) states this requirement generally; please confirm its application under each policy.</w:t>
      </w:r>
    </w:p>
    <w:p>
      <w:pPr>
        <w:pStyle w:val="ListBullet"/>
      </w:pPr>
      <w:r>
        <w:rPr>
          <w:b/>
        </w:rPr>
        <w:t xml:space="preserve">Primary and noncontributory: </w:t>
      </w:r>
      <w:r>
        <w:t>Agency insurance must be primary and noncontributory to insurance or self-insurance maintained by Indeed Flex and CORT Trade. Please address availability under each coverage.</w:t>
      </w:r>
    </w:p>
    <w:p>
      <w:pPr>
        <w:pStyle w:val="ListBullet"/>
      </w:pPr>
      <w:r>
        <w:rPr>
          <w:b/>
        </w:rPr>
        <w:t xml:space="preserve">Duration: </w:t>
      </w:r>
      <w:r>
        <w:t>Maintain required coverage during the agreement and for 12 months afterward.</w:t>
      </w:r>
    </w:p>
    <w:p>
      <w:pPr>
        <w:pStyle w:val="ListBullet"/>
      </w:pPr>
      <w:r>
        <w:rPr>
          <w:b/>
        </w:rPr>
        <w:t xml:space="preserve">Change/cancellation notice: </w:t>
      </w:r>
      <w:r>
        <w:t>Centrix must endeavor to provide 30 days’ written notice of material changes, alterations or cancellation.</w:t>
      </w:r>
    </w:p>
    <w:p>
      <w:pPr>
        <w:pStyle w:val="ListBullet"/>
      </w:pPr>
      <w:r>
        <w:rPr>
          <w:b/>
        </w:rPr>
        <w:t xml:space="preserve">Evidence: </w:t>
      </w:r>
      <w:r>
        <w:t>Provide certificates acceptable to Indeed Flex and supporting policy provisions/endorsements establishing the required protections.</w:t>
      </w:r>
    </w:p>
    <w:p>
      <w:r>
        <w:rPr>
          <w:b/>
        </w:rPr>
        <w:t xml:space="preserve">Broker response requested: </w:t>
      </w:r>
      <w:r>
        <w:t>Please confirm compliance and identify any unavailable or inapplicable wording, exclusions, or alternative endorsements so we can obtain Indeed Flex’s written acceptance of any exception. A certificate alone does not amend coverage.</w:t>
      </w:r>
    </w:p>
    <w:p>
      <w:r>
        <w:t>Centrix contact: Berlinda Diaz | 201-330-8881</w:t>
        <w:br/>
        <w:t>Scope: General Liability and Fidelity/Crime only; WC and Auto requirements are not included.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