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748453"/>
            <wp:docPr id="1" name="Picture 1"/>
            <wp:cNvGraphicFramePr>
              <a:graphicFrameLocks noChangeAspect="1"/>
            </wp:cNvGraphicFramePr>
            <a:graphic>
              <a:graphicData uri="http://schemas.openxmlformats.org/drawingml/2006/picture">
                <pic:pic>
                  <pic:nvPicPr>
                    <pic:cNvPr id="0" name="input-image---7a515293-ab3e-4c02-899c-8a7120479a1d.png"/>
                    <pic:cNvPicPr/>
                  </pic:nvPicPr>
                  <pic:blipFill>
                    <a:blip r:embed="rId9"/>
                    <a:stretch>
                      <a:fillRect/>
                    </a:stretch>
                  </pic:blipFill>
                  <pic:spPr>
                    <a:xfrm>
                      <a:off x="0" y="0"/>
                      <a:ext cx="1554480" cy="748453"/>
                    </a:xfrm>
                    <a:prstGeom prst="rect"/>
                  </pic:spPr>
                </pic:pic>
              </a:graphicData>
            </a:graphic>
          </wp:inline>
        </w:drawing>
      </w:r>
    </w:p>
    <w:p>
      <w:pPr>
        <w:pStyle w:val="Title"/>
      </w:pPr>
      <w:r>
        <w:t>New Jersey New-Hire Notice Packet</w:t>
      </w:r>
    </w:p>
    <w:p>
      <w:r>
        <w:t>Centrix Staffing | Vendor-review sample and onboarding templates | October 16, 2026</w:t>
      </w:r>
    </w:p>
    <w:p>
      <w:pPr>
        <w:pStyle w:val="Heading1"/>
      </w:pPr>
      <w:r>
        <w:t>Purpose and scope</w:t>
      </w:r>
    </w:p>
    <w:p>
      <w:r>
        <w:t>This package supplies sample onboarding materials for Norristown On-Site, Inc., DBA Centrix Staffing. It combines an editable hire/pay notice, a distribution checklist, official NJ notices, and Centrix’s bilingual safety, overtime/pay, and earned-sick-leave policies. It is a sample package—not a certification that these materials have already been distributed or that every requirement has been satisfied.</w:t>
      </w:r>
    </w:p>
    <w:p>
      <w:pPr>
        <w:pStyle w:val="Heading1"/>
      </w:pPr>
      <w:r>
        <w:t>What is included</w:t>
      </w:r>
    </w:p>
    <w:p>
      <w:pPr>
        <w:pStyle w:val="ListBullet"/>
      </w:pPr>
      <w:r>
        <w:t>Centrix notice-distribution checklist and implementation notes.</w:t>
      </w:r>
    </w:p>
    <w:p>
      <w:pPr>
        <w:pStyle w:val="ListBullet"/>
      </w:pPr>
      <w:r>
        <w:t>Blank bilingual Centrix Hire &amp; Pay Information Notice (supplemental).</w:t>
      </w:r>
    </w:p>
    <w:p>
      <w:pPr>
        <w:pStyle w:val="ListBullet"/>
      </w:pPr>
      <w:r>
        <w:t>Blank employee receipt checklist.</w:t>
      </w:r>
    </w:p>
    <w:p>
      <w:pPr>
        <w:pStyle w:val="ListBullet"/>
      </w:pPr>
      <w:r>
        <w:t>Previously prepared Centrix safety, overtime/pay, and NJ sick-leave policies.</w:t>
      </w:r>
    </w:p>
    <w:p>
      <w:pPr>
        <w:pStyle w:val="ListBullet"/>
      </w:pPr>
      <w:r>
        <w:t>Official NJ MW-23 assignment notification; MW-565 earned sick leave in English/Spanish; MW-400 recordkeeping notice; PR-2 family leave insurance; gender-equity notices in English/Spanish; CEPA notice; PR-1 unemployment/disability and MW-17/17S wage-payment references.</w:t>
      </w:r>
    </w:p>
    <w:p>
      <w:pPr>
        <w:pStyle w:val="Heading1"/>
      </w:pPr>
      <w:r>
        <w:t>Before issuing to a worker</w:t>
      </w:r>
    </w:p>
    <w:p>
      <w:r>
        <w:t>Complete the actual employee, assignment, employer, pay, insurance, and benefit-plan details. Determine which conditional notices apply. Confirm the worker’s language and provide available official translations. Complete required employer fields on official notices. Keep copies and record actual delivery dates; do not pre-check receipt acknowledgments.</w:t>
      </w:r>
    </w:p>
    <w:p>
      <w:r>
        <w:t>For covered temporary assignments, NJ requires its approved MW-23 form. The Centrix template does not replace MW-23. Complete and give MW-23 at dispatch, and provide updated information when required. A generic blank sample does not satisfy an individual worker’s assignment notice.</w:t>
      </w:r>
    </w:p>
    <w:p>
      <w:r>
        <w:t>Centrix contact: Berlinda Diaz • 201-330-8881. Employer street address, workers’ compensation details, and state/private benefit-plan details remain to be completed from Centrix records.</w:t>
      </w:r>
    </w:p>
    <w:p>
      <w:r>
        <w:br w:type="page"/>
      </w:r>
    </w:p>
    <w:p>
      <w:pPr>
        <w:pStyle w:val="Title"/>
      </w:pPr>
      <w:r>
        <w:t>Notice Distribution &amp; Implementation Checklist</w:t>
      </w:r>
    </w:p>
    <w:p>
      <w:r>
        <w:rPr>
          <w:b/>
        </w:rPr>
        <w:t xml:space="preserve">☐ MW-23 — temporary assignment. </w:t>
      </w:r>
      <w:r>
        <w:t>Required for covered designated-classification placements. Use official form at dispatch; update changed terms. Complete client, worksite, pay, WC, schedule, PPE/training, transportation, meals, duration if known, and other fields. Provide required language access.</w:t>
      </w:r>
    </w:p>
    <w:p>
      <w:r>
        <w:rPr>
          <w:b/>
        </w:rPr>
        <w:t xml:space="preserve">☐ MW-565 — earned sick leave. </w:t>
      </w:r>
      <w:r>
        <w:t>Give the official notice at hire and post it; provide English and the employee’s primary language if NJDOL supplies that translation. Centrix’s sick-leave policy is supplemental.</w:t>
      </w:r>
    </w:p>
    <w:p>
      <w:r>
        <w:rPr>
          <w:b/>
        </w:rPr>
        <w:t xml:space="preserve">☐ MW-400 — records notice. </w:t>
      </w:r>
      <w:r>
        <w:t>Give the state notice to new hires and post it. It covers employer reporting/recordkeeping obligations; an overtime policy does not replace it.</w:t>
      </w:r>
    </w:p>
    <w:p>
      <w:r>
        <w:rPr>
          <w:b/>
        </w:rPr>
        <w:t xml:space="preserve">☐ PR-2 — family leave insurance. </w:t>
      </w:r>
      <w:r>
        <w:t>Provide the required written FLI information at hire and when otherwise required; post the notice. If Centrix has an approved private plan, include its coverage and claim instructions.</w:t>
      </w:r>
    </w:p>
    <w:p>
      <w:r>
        <w:rPr>
          <w:b/>
        </w:rPr>
        <w:t xml:space="preserve">☐ Gender equity — applicable to Centrix. </w:t>
      </w:r>
      <w:r>
        <w:t>Applies to employers with 50 or more employees inside or outside NJ. Centrix reports meeting this threshold when Pennsylvania employees are included. Provide the official notice at hire, annually, and on request; post it. Obtain the signed acknowledgment within 30 days of receipt. Retain the separate signed acknowledgment.</w:t>
      </w:r>
    </w:p>
    <w:p>
      <w:r>
        <w:rPr>
          <w:b/>
        </w:rPr>
        <w:t xml:space="preserve">☐ CEPA — whistleblower rights. </w:t>
      </w:r>
      <w:r>
        <w:t>Post the official notice. Employers with 10 or more employees must distribute it annually; inclusion at hire is also useful. Fill in the designated contact’s name, address, and phone before use.</w:t>
      </w:r>
    </w:p>
    <w:p>
      <w:r>
        <w:rPr>
          <w:b/>
        </w:rPr>
        <w:t xml:space="preserve">☐ Hire/pay terms. </w:t>
      </w:r>
      <w:r>
        <w:t>Notify each employee at hire of the actual pay rate and regular payday. Use the supplemental Centrix template alongside MW-23, not instead of it. Give required advance notice of changes.</w:t>
      </w:r>
    </w:p>
    <w:p>
      <w:r>
        <w:rPr>
          <w:b/>
        </w:rPr>
        <w:t xml:space="preserve">☐ Other postings and events. </w:t>
      </w:r>
      <w:r>
        <w:t>PR-1 and MW-17/17S are included as reference/posting materials—not labeled universal new-hire handouts. Maintain all other applicable NJ/federal postings (e.g., discrimination, family leave, SAFE Act, wage/hour, misclassification, WC). Supply separation, benefit-claim, pay-statement and other event-triggered notices when required.</w:t>
      </w:r>
    </w:p>
    <w:p>
      <w:r>
        <w:t>Important: This packet is not the entire workplace poster set. Display obligations remain separate from individual delivery. Complete MW-23 for each covered assignment; comply with MW-24/itemized-pay requirements and other temporary-worker notices when triggered.</w:t>
      </w:r>
    </w:p>
    <w:p>
      <w:r>
        <w:br w:type="page"/>
      </w:r>
    </w:p>
    <w:p>
      <w:pPr>
        <w:pStyle w:val="Title"/>
      </w:pPr>
      <w:r>
        <w:t>Centrix Hire &amp; Pay Information Notice</w:t>
      </w:r>
    </w:p>
    <w:p>
      <w:r>
        <w:t>Aviso de contratación e información de pago | BLANK SAMPLE / MODELO EN BLANCO</w:t>
      </w:r>
    </w:p>
    <w:p>
      <w:r>
        <w:t>Supplemental notice; does not replace official MW-23 for covered temporary assignments. / Aviso complementario; no sustituye el MW-23 oficial para asignaciones temporales cubiertas.</w:t>
      </w:r>
    </w:p>
    <w:p>
      <w:pPr>
        <w:spacing w:after="100"/>
      </w:pPr>
      <w:r>
        <w:rPr>
          <w:b/>
        </w:rPr>
        <w:t xml:space="preserve">Legal employer / Empleador legal: </w:t>
      </w:r>
      <w:r>
        <w:t>Norristown On-Site, Inc., DBA Centrix Staffing</w:t>
      </w:r>
    </w:p>
    <w:p>
      <w:pPr>
        <w:spacing w:after="100"/>
      </w:pPr>
      <w:r>
        <w:rPr>
          <w:b/>
        </w:rPr>
        <w:t xml:space="preserve">Employer street address / Dirección del empleador: </w:t>
      </w:r>
      <w:r>
        <w:t>________________________________________________</w:t>
      </w:r>
    </w:p>
    <w:p>
      <w:pPr>
        <w:spacing w:after="100"/>
      </w:pPr>
      <w:r>
        <w:rPr>
          <w:b/>
        </w:rPr>
        <w:t xml:space="preserve">Employee / Trabajador(a): </w:t>
      </w:r>
      <w:r>
        <w:t>________________________________________________</w:t>
      </w:r>
    </w:p>
    <w:p>
      <w:pPr>
        <w:spacing w:after="100"/>
      </w:pPr>
      <w:r>
        <w:rPr>
          <w:b/>
        </w:rPr>
        <w:t xml:space="preserve">Hire date / Fecha de contratación: </w:t>
      </w:r>
      <w:r>
        <w:t>________________  Assignment start / Inicio: ______________</w:t>
      </w:r>
    </w:p>
    <w:p>
      <w:pPr>
        <w:spacing w:after="100"/>
      </w:pPr>
      <w:r>
        <w:rPr>
          <w:b/>
        </w:rPr>
        <w:t xml:space="preserve">Client and worksite / Cliente y lugar de trabajo: </w:t>
      </w:r>
      <w:r>
        <w:t>________________________________________________</w:t>
      </w:r>
    </w:p>
    <w:p>
      <w:pPr>
        <w:spacing w:after="100"/>
      </w:pPr>
      <w:r>
        <w:rPr>
          <w:b/>
        </w:rPr>
        <w:t xml:space="preserve">Position and duties / Puesto y funciones: </w:t>
      </w:r>
      <w:r>
        <w:t>________________________________________________</w:t>
      </w:r>
    </w:p>
    <w:p>
      <w:pPr>
        <w:spacing w:after="100"/>
      </w:pPr>
      <w:r>
        <w:rPr>
          <w:b/>
        </w:rPr>
        <w:t xml:space="preserve">Schedule / Horario: </w:t>
      </w:r>
      <w:r>
        <w:t>________________________________________________</w:t>
      </w:r>
    </w:p>
    <w:p>
      <w:pPr>
        <w:spacing w:after="100"/>
      </w:pPr>
      <w:r>
        <w:rPr>
          <w:b/>
        </w:rPr>
        <w:t xml:space="preserve">Regular hourly rate / Tarifa regular por hora: </w:t>
      </w:r>
      <w:r>
        <w:t>$________ per hour / por hora</w:t>
      </w:r>
    </w:p>
    <w:p>
      <w:pPr>
        <w:spacing w:after="100"/>
      </w:pPr>
      <w:r>
        <w:rPr>
          <w:b/>
        </w:rPr>
        <w:t xml:space="preserve">Other rates, differentials or bonuses / Otras tarifas o bonos: </w:t>
      </w:r>
      <w:r>
        <w:t>________________________________________________</w:t>
      </w:r>
    </w:p>
    <w:p>
      <w:pPr>
        <w:spacing w:after="100"/>
      </w:pPr>
      <w:r>
        <w:rPr>
          <w:b/>
        </w:rPr>
        <w:t xml:space="preserve">Overtime / Horas extras: </w:t>
      </w:r>
      <w:r>
        <w:t>Over 40 hours worked/week: 1.5 × regular rate, or more if required by law. / Más de 40 horas trabajadas por semana: 1.5 × tarifa regular, o más si la ley lo exige.</w:t>
      </w:r>
    </w:p>
    <w:p>
      <w:pPr>
        <w:spacing w:after="100"/>
      </w:pPr>
      <w:r>
        <w:rPr>
          <w:b/>
        </w:rPr>
        <w:t xml:space="preserve">Workweek / Semana laboral: </w:t>
      </w:r>
      <w:r>
        <w:t>Sunday–Saturday / Domingo–sábado</w:t>
      </w:r>
    </w:p>
    <w:p>
      <w:pPr>
        <w:spacing w:after="100"/>
      </w:pPr>
      <w:r>
        <w:rPr>
          <w:b/>
        </w:rPr>
        <w:t xml:space="preserve">Payday / Día de pago: </w:t>
      </w:r>
      <w:r>
        <w:t>Friday / Viernes</w:t>
      </w:r>
    </w:p>
    <w:p>
      <w:pPr>
        <w:spacing w:after="100"/>
      </w:pPr>
      <w:r>
        <w:rPr>
          <w:b/>
        </w:rPr>
        <w:t xml:space="preserve">First payday and period covered / Primer pago y período: </w:t>
      </w:r>
      <w:r>
        <w:t>________________________________________________</w:t>
      </w:r>
    </w:p>
    <w:p>
      <w:pPr>
        <w:spacing w:after="100"/>
      </w:pPr>
      <w:r>
        <w:rPr>
          <w:b/>
        </w:rPr>
        <w:t xml:space="preserve">Payment method / Forma de pago: </w:t>
      </w:r>
      <w:r>
        <w:t>________________________________________________</w:t>
      </w:r>
    </w:p>
    <w:p>
      <w:pPr>
        <w:spacing w:after="100"/>
      </w:pPr>
      <w:r>
        <w:rPr>
          <w:b/>
        </w:rPr>
        <w:t xml:space="preserve">Deductions / Deducciones: </w:t>
      </w:r>
      <w:r>
        <w:t>Taxes and other lawful deductions; itemized on pay statement. / Impuestos y otras deducciones legales, detallados en el comprobante.</w:t>
      </w:r>
    </w:p>
    <w:p>
      <w:pPr>
        <w:spacing w:after="100"/>
      </w:pPr>
      <w:r>
        <w:rPr>
          <w:b/>
        </w:rPr>
        <w:t xml:space="preserve">NJ sick leave / Licencia por enfermedad de NJ: </w:t>
      </w:r>
      <w:r>
        <w:t>1 hour per 30 hours worked; Jan–Dec; up to 40 hours/year. See policy for use, carryover and protections. / 1 hora por 30 trabajadas; enero–diciembre; hasta 40 horas/año. Consulte la política sobre uso, traslado de saldo y derechos.</w:t>
      </w:r>
    </w:p>
    <w:p>
      <w:pPr>
        <w:spacing w:after="100"/>
      </w:pPr>
      <w:r>
        <w:rPr>
          <w:b/>
        </w:rPr>
        <w:t xml:space="preserve">Payroll contact / Contacto de nómina: </w:t>
      </w:r>
      <w:r>
        <w:t>Berlinda Diaz • 201-330-8881</w:t>
      </w:r>
    </w:p>
    <w:p>
      <w:r>
        <w:t>Worker signature / Firma: __________________  Date / Fecha: __________</w:t>
        <w:br/>
        <w:t>Centrix representative / Representante: __________________________</w:t>
      </w:r>
    </w:p>
    <w:p>
      <w:r>
        <w:br w:type="page"/>
      </w:r>
    </w:p>
    <w:p>
      <w:pPr>
        <w:pStyle w:val="Title"/>
      </w:pPr>
      <w:r>
        <w:t>Employee Notice Receipt</w:t>
      </w:r>
    </w:p>
    <w:p>
      <w:r>
        <w:t>Acuse de recibo de avisos | Complete only after actual delivery / Complete solo después de la entrega real</w:t>
      </w:r>
    </w:p>
    <w:p>
      <w:r>
        <w:t>Employee / Trabajador(a): ______________________________</w:t>
        <w:br/>
        <w:t>Language / Idioma: ______________  Delivery date / Fecha de entrega: ______________</w:t>
      </w:r>
    </w:p>
    <w:p>
      <w:r>
        <w:t>☐ Centrix Hire &amp; Pay Information Notice / Aviso de contratación y pago</w:t>
      </w:r>
    </w:p>
    <w:p>
      <w:r>
        <w:t>☐ Official MW-23, if applicable / MW-23 oficial, si corresponde</w:t>
      </w:r>
    </w:p>
    <w:p>
      <w:r>
        <w:t>☐ Official MW-565 / Aviso oficial de licencia por enfermedad</w:t>
      </w:r>
    </w:p>
    <w:p>
      <w:r>
        <w:t>☐ Official MW-400 / Aviso oficial sobre registros</w:t>
      </w:r>
    </w:p>
    <w:p>
      <w:r>
        <w:t>☐ Family leave insurance notice and applicable plan details / Aviso de seguro de licencia familiar y datos del plan</w:t>
      </w:r>
    </w:p>
    <w:p>
      <w:r>
        <w:t>☐ Gender-equity notice, if applicable; retain its separate acknowledgment / Aviso de equidad de género, si corresponde; conserve su acuse separado</w:t>
      </w:r>
    </w:p>
    <w:p>
      <w:r>
        <w:t>☐ CEPA notice / Aviso de protección de denunciantes</w:t>
      </w:r>
    </w:p>
    <w:p>
      <w:r>
        <w:t>☐ Centrix Health &amp; Safety Policy / Política de salud y seguridad</w:t>
      </w:r>
    </w:p>
    <w:p>
      <w:r>
        <w:t>☐ Centrix Overtime &amp; Pay Policy / Política de horas extras y pago</w:t>
      </w:r>
    </w:p>
    <w:p>
      <w:r>
        <w:t>☐ Centrix NJ Sick Leave Policy / Política de licencia por enfermedad de NJ</w:t>
      </w:r>
    </w:p>
    <w:p>
      <w:r>
        <w:t>☐ Other / Otro: ______________________________________________</w:t>
      </w:r>
    </w:p>
    <w:p>
      <w:r>
        <w:t>My signature acknowledges receipt only and does not waive rights or confirm that an employer has satisfied all legal obligations. / Mi firma confirma únicamente la recepción; no implica renuncia de derechos ni confirma que el empleador haya cumplido todas sus obligaciones legales.</w:t>
      </w:r>
    </w:p>
    <w:p>
      <w:r>
        <w:t>Signature / Firma: __________________________  Date / Fecha: __________</w:t>
        <w:br/>
        <w:t>Centrix representative / Representante: ______________________________</w:t>
      </w:r>
    </w:p>
    <w:p>
      <w:pPr>
        <w:pStyle w:val="Heading1"/>
      </w:pPr>
      <w:r>
        <w:t>Official sources / Fuentes oficiales</w:t>
      </w:r>
    </w:p>
    <w:p>
      <w:r>
        <w:t>https://www.nj.gov/labor/wageandhour/tools-resources/forms-publications/employer-poster-packet/</w:t>
      </w:r>
    </w:p>
    <w:p>
      <w:r>
        <w:t>https://www.nj.gov/labor/myworkrights/leave-benefits/sick-leave/</w:t>
      </w:r>
    </w:p>
    <w:p>
      <w:r>
        <w:t>https://www.nj.gov/labor/myworkrights/worker-protections/temp_workers/</w:t>
      </w:r>
    </w:p>
    <w:p>
      <w:r>
        <w:t>https://www.law.cornell.edu/regulations/new-jersey/N-J-A-C-12-2-2-2</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