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660400"/>
            <wp:docPr id="1" name="Picture 1"/>
            <wp:cNvGraphicFramePr>
              <a:graphicFrameLocks noChangeAspect="1"/>
            </wp:cNvGraphicFramePr>
            <a:graphic>
              <a:graphicData uri="http://schemas.openxmlformats.org/drawingml/2006/picture">
                <pic:pic>
                  <pic:nvPicPr>
                    <pic:cNvPr id="0" name="input-image---7a515293-ab3e-4c02-899c-8a7120479a1d.png"/>
                    <pic:cNvPicPr/>
                  </pic:nvPicPr>
                  <pic:blipFill>
                    <a:blip r:embed="rId9"/>
                    <a:stretch>
                      <a:fillRect/>
                    </a:stretch>
                  </pic:blipFill>
                  <pic:spPr>
                    <a:xfrm>
                      <a:off x="0" y="0"/>
                      <a:ext cx="1371600" cy="660400"/>
                    </a:xfrm>
                    <a:prstGeom prst="rect"/>
                  </pic:spPr>
                </pic:pic>
              </a:graphicData>
            </a:graphic>
          </wp:inline>
        </w:drawing>
      </w:r>
    </w:p>
    <w:p>
      <w:pPr>
        <w:jc w:val="center"/>
      </w:pPr>
      <w:r>
        <w:rPr>
          <w:b/>
          <w:sz w:val="24"/>
        </w:rPr>
        <w:t>NJ EARNED SICK LEAVE POLICY</w:t>
        <w:br/>
        <w:t>POLÍTICA DE LICENCIA POR ENFERMEDAD DE NJ</w:t>
      </w:r>
    </w:p>
    <w:p>
      <w:pPr>
        <w:jc w:val="center"/>
      </w:pPr>
      <w:r>
        <w:t>New-Hire Handout / Guía para nuevos trabajadores</w:t>
      </w:r>
    </w:p>
    <w:tbl>
      <w:tblPr>
        <w:tblW w:type="auto" w:w="0"/>
        <w:tblLayout w:type="fixed"/>
        <w:tblLook w:firstColumn="1" w:firstRow="1" w:lastColumn="0" w:lastRow="0" w:noHBand="0" w:noVBand="1" w:val="04A0"/>
      </w:tblPr>
      <w:tblGrid>
        <w:gridCol w:w="5400"/>
        <w:gridCol w:w="5400"/>
      </w:tblGrid>
      <w:tr>
        <w:tc>
          <w:tcPr>
            <w:tcW w:type="dxa" w:w="5400"/>
          </w:tcPr>
          <w:p>
            <w:r>
              <w:rPr>
                <w:b/>
              </w:rPr>
              <w:t>ENGLISH</w:t>
            </w:r>
          </w:p>
          <w:p>
            <w:r>
              <w:rPr>
                <w:b/>
              </w:rPr>
              <w:t xml:space="preserve">Earning and using leave. </w:t>
            </w:r>
            <w:r>
              <w:t>Covered Centrix employees working in NJ, including temporary and part-time workers, earn 1 paid sick-leave hour per 30 hours worked, starting on hire. Accrual and use are each capped at 40 hours per benefit year, January 1–December 31. Use begins on the 120th calendar day after employment starts, unless Centrix permits earlier use. Client-site changes do not restart this waiting period.</w:t>
            </w:r>
          </w:p>
          <w:p>
            <w:r>
              <w:rPr>
                <w:b/>
              </w:rPr>
              <w:t xml:space="preserve">Permitted reasons. </w:t>
            </w:r>
            <w:r>
              <w:t>Use leave for your or a family member’s physical or mental illness, injury, diagnosis, treatment, preventive care, or recovery; needs arising from domestic or sexual violence (including medical, counseling, legal, relocation, or safety services); qualifying public-health workplace or school/childcare closures, isolation or quarantine; and school-requested meetings or events about a child’s health or disability, or care-related meetings. Family includes blood relatives and people whose close association is equivalent to family.</w:t>
            </w:r>
          </w:p>
          <w:p>
            <w:r>
              <w:rPr>
                <w:b/>
              </w:rPr>
              <w:t xml:space="preserve">Requesting leave. </w:t>
            </w:r>
            <w:r>
              <w:t>Contact Centrix at the number below. Give up to 7 days’ advance notice when foreseeable; otherwise notify Centrix as soon as practicable. No replacement worker or make-up hours are required. Centrix will not require more leave than needed; requests may be made for partial shifts.</w:t>
            </w:r>
          </w:p>
          <w:p>
            <w:r>
              <w:rPr>
                <w:b/>
              </w:rPr>
              <w:t xml:space="preserve">Documentation and privacy. </w:t>
            </w:r>
            <w:r>
              <w:t>Centrix may request reasonable documentation for 3 or more consecutive workdays of leave, as permitted by NJ law. This policy establishes no special restricted dates. You need not disclose a diagnosis or details of violence. Leave information is confidential and disclosed only with consent or as legally permitted.</w:t>
            </w:r>
          </w:p>
          <w:p>
            <w:r>
              <w:rPr>
                <w:b/>
              </w:rPr>
              <w:t xml:space="preserve">Pay. </w:t>
            </w:r>
            <w:r>
              <w:t>Leave is paid at the rate required by NJ law, with the same benefits and no less than the applicable NJ minimum wage. Variable or multiple rates are calculated under NJ rules. Payment is due no later than the payday for the next regular payroll period after leave is taken. Paid leave is not hours worked for overtime.</w:t>
            </w:r>
          </w:p>
          <w:p>
            <w:r>
              <w:rPr>
                <w:b/>
              </w:rPr>
              <w:t xml:space="preserve">Carryover and return. </w:t>
            </w:r>
            <w:r>
              <w:t>Carry over up to 40 unused hours into the next benefit year; use remains capped at 40 hours per year. Moving between Centrix client sites does not erase your balance. Unused leave is restored if rehired within 6 months. No separation payout is provided unless otherwise required by law or agreement.</w:t>
            </w:r>
          </w:p>
          <w:p>
            <w:r>
              <w:rPr>
                <w:b/>
              </w:rPr>
              <w:t xml:space="preserve">Your rights. </w:t>
            </w:r>
            <w:r>
              <w:t>No retaliation, attendance penalties, or discipline for lawful use or reporting concerns. More protective laws or agreements control. Receive the official NJ notice (MW-565) separately. Questions/complaints: NJDOL, 609-292-2305; nj.gov/labor/file. Centrix maintains required leave records for at least 5 years.</w:t>
            </w:r>
          </w:p>
        </w:tc>
        <w:tc>
          <w:tcPr>
            <w:tcW w:type="dxa" w:w="5400"/>
          </w:tcPr>
          <w:p>
            <w:r>
              <w:rPr>
                <w:b/>
              </w:rPr>
              <w:t>ESPAÑOL</w:t>
            </w:r>
          </w:p>
          <w:p>
            <w:r>
              <w:rPr>
                <w:b/>
              </w:rPr>
              <w:t xml:space="preserve">Acumulación y uso. </w:t>
            </w:r>
            <w:r>
              <w:t>Los empleados de Centrix cubiertos que trabajan en NJ, incluidos temporales y de tiempo parcial, acumulan 1 hora de licencia pagada por cada 30 horas trabajadas desde la contratación. Se permite acumular y usar hasta 40 horas por año de beneficios, del 1 de enero al 31 de diciembre. El uso comienza el día calendario 120 de empleo, salvo autorización anterior de Centrix. Cambiar de sitio del cliente no reinicia la espera.</w:t>
            </w:r>
          </w:p>
          <w:p>
            <w:r>
              <w:rPr>
                <w:b/>
              </w:rPr>
              <w:t xml:space="preserve">Motivos permitidos. </w:t>
            </w:r>
            <w:r>
              <w:t>Puede usarla para enfermedad física o mental, lesión, diagnóstico, tratamiento, prevención o recuperación propia o de un familiar; necesidades por violencia doméstica o sexual (servicios médicos, psicológicos, legales, de reubicación o seguridad); cierres del trabajo, escuela o guardería, aislamiento o cuarentena por motivos de salud pública previstos por ley; y reuniones o eventos solicitados por la escuela sobre la salud o discapacidad de un hijo, o reuniones sobre su cuidado. Familia incluye parientes de sangre y personas con vínculos equivalentes a los familiares.</w:t>
            </w:r>
          </w:p>
          <w:p>
            <w:r>
              <w:rPr>
                <w:b/>
              </w:rPr>
              <w:t xml:space="preserve">Cómo solicitarla. </w:t>
            </w:r>
            <w:r>
              <w:t>Contacte a Centrix al número indicado abajo. Avise con hasta 7 días de anticipación si es previsible; de lo contrario, tan pronto como sea posible. No debe buscar reemplazo ni recuperar las horas. Centrix no exigirá más licencia de la necesaria; puede solicitar parte de un turno.</w:t>
            </w:r>
          </w:p>
          <w:p>
            <w:r>
              <w:rPr>
                <w:b/>
              </w:rPr>
              <w:t xml:space="preserve">Documentación y privacidad. </w:t>
            </w:r>
            <w:r>
              <w:t>Centrix puede pedir documentación razonable por 3 o más días laborables consecutivos, conforme a la ley de NJ. Esta política no establece fechas especiales restringidas. No tiene que revelar un diagnóstico ni detalles de violencia. La información es confidencial; solo se divulga con consentimiento o cuando la ley lo permite.</w:t>
            </w:r>
          </w:p>
          <w:p>
            <w:r>
              <w:rPr>
                <w:b/>
              </w:rPr>
              <w:t xml:space="preserve">Pago. </w:t>
            </w:r>
            <w:r>
              <w:t>Se paga a la tarifa exigida por NJ, con los mismos beneficios y nunca por debajo del salario mínimo aplicable de NJ. Las tarifas variables o múltiples se calculan según las reglas de NJ. Se paga a más tardar el día de pago del siguiente período regular de nómina después del uso. La licencia pagada no cuenta como horas trabajadas para horas extras.</w:t>
            </w:r>
          </w:p>
          <w:p>
            <w:r>
              <w:rPr>
                <w:b/>
              </w:rPr>
              <w:t xml:space="preserve">Traslado de saldo y regreso. </w:t>
            </w:r>
            <w:r>
              <w:t>Se trasladan hasta 40 horas no usadas al siguiente año; el uso sigue limitado a 40 horas anuales. Cambiar de sitio del cliente de Centrix no elimina el saldo. Se restituye la licencia no usada si vuelve a ser contratado dentro de 6 meses. No se paga el saldo al terminar el empleo salvo exigencia legal o contractual.</w:t>
            </w:r>
          </w:p>
          <w:p>
            <w:r>
              <w:rPr>
                <w:b/>
              </w:rPr>
              <w:t xml:space="preserve">Sus derechos. </w:t>
            </w:r>
            <w:r>
              <w:t>No habrá represalias, sanciones de asistencia ni disciplina por uso legítimo o por reportar inquietudes. Prevalecen las leyes o acuerdos más protectores. Recibirá por separado el aviso oficial de NJ (MW-565). Consultas/quejas: NJDOL, 609-292-2305; nj.gov/labor/file. Centrix conserva los registros exigidos por al menos 5 años.</w:t>
            </w:r>
          </w:p>
        </w:tc>
      </w:tr>
    </w:tbl>
    <w:p>
      <w:r>
        <w:t>Centrix contact / Contacto: Berlinda Diaz • 201-330-8881</w:t>
      </w:r>
    </w:p>
    <w:p>
      <w:r>
        <w:t>Receipt only; no waiver of rights. / Solo acuse de recibo; no implica renuncia a derechos.</w:t>
        <w:br/>
        <w:t>Name / Nombre: __________________  Signature / Firma: __________________  Date / Fecha: __________</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