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decommission gates. Clear accountability for benefits,Clear accountability for benefits, reporting through OKRs, and cross‑functional working will sustain momentum. Over time, this operating model creates a repeatable pattern for safe, efficient change, building orgsafe changeange, building organisational confidence while improving customer experience, operational efficiency, and risk control. Additionally, align budget cycles wiAdditionally, align budget cycles with delivery waves and legacy decommissioning to maintain funding discipline and accountability.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2025-09-15T02:33:57Z</dcterms:created>
  <dcterms:modified xsi:type="dcterms:W3CDTF">2025-09-15T02:33:57Z</dcterms:modified>
</cp:coreProperties>
</file>

<file path=docProps/custom.xml><?xml version="1.0" encoding="utf-8"?>
<Properties xmlns="http://schemas.openxmlformats.org/officeDocument/2006/custom-properties" xmlns:vt="http://schemas.openxmlformats.org/officeDocument/2006/docPropsVTypes"/>
</file>