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timely regulatory compliance, reduced fraud losses and false positives, shorter lending cycle times, higher NPS, lower run‑costs, and faster time‑to‑market. Capability outcomes comprise a secure cloud landing zone, an enterprise data platform for governed real‑time and batch analytics, AI/ML governed by MRM, an API ecosystem for decoupled integration, and a DevSecOps toolchain with observability and SRE. Information outcomes emphasise trusted, lineage‑tracked datasets with privacy‑preserving access and continuous data‑quality controls. Process outcomes apply these capabilities to digitised, STP‑ready lending, proactive fraud and risk oversight, automated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Business analysis planning and monitoring sets governance, stakeholders, requirements management, and a review cadence with a traceability matrix from goals to solution and transition requirements. Elicitation and collaboration apply design thinking with customers and staff, plus value‑stream and service‑blueprint workshops to surface pain points and measurable outcomes. Strategy analysis defines current and future states, evaluates risks and constraints, and frames a quantified change strategy. Requirements analysis and design definition decompose epics into features and stories, specify non‑functional requirements (security, privacy, resilience, performance, operability), and develop domain and data models with evaluation criteria. Requirements life‑cycle management baselines versions, maintains bi‑directional traceability, and governs change. Solution evaluation runs pilots and A/B tests and measures KPIs (STP, fraud hit‑rate/false‑positives, report timeliness, NPS) to inform benefits realisation and investment.</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risk penalties and reputational damage; zero‑trust controls with encryption, strong IAM/least privilege, DLP, privacy‑by‑design, and continuous monitoring (including red‑team exercises) reduce exposure (see [5], [6]). Regulatory non‑compliance can trigger fines and remediation; early regulator engagement, mapped control libraries, automated evidence, lineage‑based reporting, and independent testing and audit strengthen assurance (see [1], [9]). AI model risk—bias, drift, instability—may cause unfair outcomes; an MRM framework with model inventories, differential testing, fairness/robustness checks, explainability, human‑in‑the‑loop for material decisions, and continuous monitoring mitigates this (see [2], [3], [5], [7]). Migration‑related outages are limited by blue/green and canary releases, chaos/game‑day testing, automated rollback, capacity and resilience tests, and proven cutovers. Data‑quality and lineage gaps are addressed by data contracts, stewardship roles, automated quality checks, lineage tooling, and golden‑source management. Vendor lock‑in risks are mitigated via open interfaces, containerisation, multi‑AZ/region patterns, exit strategies and data‑egress plans, and portable designs. Change resistance and skills gaps are handled through structured change, training and enablement, communities of practice, internal champions, and outcome‑linked incentives. Ethical risks of AI require explicit ethics guidelines, transparency, and effective appeal/remediation processes with stakeholder engagement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decommission gates. Clear accountability for benefits, transparent reporting through OKRs, and cross‑functional ways of working wcross‑functional workingking will sustain momentum. Over time, this operating model creates a repeatable pattern for safe, efficient change, building organisational confidence while continuously improving customer experience, operational efficiency, and risk control. Additionally, align budget cycles wiAdditionally, align budget cycles with delivery waves and legacy decommissioning to maintain funding discipline and accountability. and</w:t>
      </w:r>
    </w:p>
    <w:p>
      <w:pPr>
        <w:pStyle w:val="FirstParagraph"/>
      </w:pP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BodyText"/>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2025-09-15T02:32:36Z</dcterms:created>
  <dcterms:modified xsi:type="dcterms:W3CDTF">2025-09-15T02:32:36Z</dcterms:modified>
</cp:coreProperties>
</file>

<file path=docProps/custom.xml><?xml version="1.0" encoding="utf-8"?>
<Properties xmlns="http://schemas.openxmlformats.org/officeDocument/2006/custom-properties" xmlns:vt="http://schemas.openxmlformats.org/officeDocument/2006/docPropsVTypes"/>
</file>