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At the business level, the transformation targets measurable outcomes: timely regulatory compliance, reduced fraud losses and false positives, shorter lending cycle times, higher NPS, lower run‑costs, and faster time‑to‑market. Capability outcomes comprise a secure cloud landing zone, an enterprise data platform for governed real‑time and batch analytics, AI/ML governed by MRM, an API ecosystem for decoupled integration, and a DevSecOps toolchain with observability and SRE. Information outcomes emphasise trusted, lineage‑tracked datasets with privacy‑preserving access and continuous data‑quality controls. Process outcomes apply these capabilities to digitised, STP‑ready lending, proactive fraud and risk oversight, automated regulatory reporting, and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The approach follows BABOK. Business analysis planning and monitoring sets governance, stakeholders, requirements management, and a review cadence with a traceability matrix from goals to solution and transition requirements. Elicitation and collaboration apply design thinking with customers and staff, plus value‑stream and service‑blueprint workshops to surface pain points and measurable outcomes. Strategy analysis defines current and future states, evaluates risks and constraints, and frames a quantified change strategy. Requirements analysis and design definition decompose epics into features and stories, specify non‑functional requirements (security, privacy, resilience, performance, operability), and develop domain and data models with evaluation criteria. Requirements life‑cycle management baselines versions, maintains bi‑directional traceability, and governs change. Solution evaluation runs pilots and A/B tests and measures KPIs (STP, fraud hit‑rate/false‑positives, report timeliness, NPS) to inform benefits realisation and investment.</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Data privacy and security breaches risk penalties and reputational damage; zero‑trust controls with encryption, strong IAM/least privilege, DLP, privacy‑by‑design, and continuous monitoring (including red‑team exercises) reduce exposure (see [5], [6]). Regulatory non‑compliance can trigger fines and remediation; early regulator engagement, mapped control libraries, automated evidence, lineage‑based reporting, and independent testing and audit strengthen assurance (see [1], [9]). AI model risk—bias, drift, instability—may cause unfair outcomes; an MRM framework with model inventories, differential testing, fairness/robustness checks, explainability, human‑in‑the‑loop for material decisions, and continuous monitoring mitigates this (see [2], [3], [5], [7]). Migration‑related outages are limited by blue/green and canary releases, chaos/game‑day testing, automated rollback, capacity and resilience tests, and proven cutovers. Data‑quality and lineage gaps are addressed by data contracts, stewardship roles, automated quality checks, lineage tooling, and golden‑source management. Vendor lock‑in risks are mitigated via open interfaces, containerisation, multi‑AZ/region patterns, exit strategies and data‑egress plans, and portable designs. Change resistance and skills gaps are handled through structured change, training and enablement, communities of practice, internal champions, and outcome‑linked incentives. Ethical risks of AI require explicit ethics guidelines, transparency, and effective appeal/remediation processes with stakeholder engagement (see [5]).</w:t>
      </w:r>
      <w:r>
        <w:t xml:space="preserve"> </w:t>
      </w:r>
      <w:r>
        <w:t xml:space="preserve">Monitoring and assurance</w:t>
      </w:r>
      <w:r>
        <w:t xml:space="preserve"> </w:t>
      </w:r>
      <w:r>
        <w:t xml:space="preserve">Monitoring and assurance integrate outcome‑oriented KPIs with risk‑sensitive KRIs. Operational KPIs include customer measures such as time‑to‑yes in lending, service response times, and net promoter score, alongside efficiency indicators like straight‑through processing and unit‑cost. KRIs track resilience through SLO/SLA compliance, model performance via AUC stability, drift, and fairness metrics, fraud‑detection hit‑rates, and the timeliness and completeness of regulatory reporting. Oversight follows a three‑lines‑of‑defence model—delivery teams and operations in first line; independent risk, compliance, and model risk in second line; and internal audit in third line—with proportionate independent validation and periodic re‑approval for material models, supported by clear documentation for regulators and auditors. Benefits‑realisation dashboards align to business cases and are reviewed at each wave gate to sustain focus on measurable outcomes.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decommission gates. Clear accountability for benefits,Clear accountability for benefits, reporting through OKRs, and cross‑functional working will sustain momentum. Over time, this operating model creates a repeatable pattern for safe, efficient change, building organisational confidence while improving customer experience, operational efficiency, and risk control. Additionally, align budget cycles with delivery waves and legacy decommissioning to maintain funding discipline and accountability. and</w:t>
      </w:r>
    </w:p>
    <w:p>
      <w:pPr>
        <w:pStyle w:val="FirstParagraph"/>
      </w:pPr>
      <w:r>
        <w:t xml:space="preserve">Finally, establishing a lightweight benefits review board with cross‑functional representation will sustain focus on measurable outcomes, accelerate issue escalation, and reinforce evidence‑based decision making across technology and business teams.</w:t>
      </w:r>
    </w:p>
    <w:p>
      <w:pPr>
        <w:pStyle w:val="BodyText"/>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2025-09-15T02:34:47Z</dcterms:created>
  <dcterms:modified xsi:type="dcterms:W3CDTF">2025-09-15T02:34:47Z</dcterms:modified>
</cp:coreProperties>
</file>

<file path=docProps/custom.xml><?xml version="1.0" encoding="utf-8"?>
<Properties xmlns="http://schemas.openxmlformats.org/officeDocument/2006/custom-properties" xmlns:vt="http://schemas.openxmlformats.org/officeDocument/2006/docPropsVTypes"/>
</file>