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such as timely and accurate regulatory compliance, reduced fraud losses and false positives, shorter lending cycle times, higher NPS and retention, lower run‑costs, and faster time‑to‑market. Enabling these results requires specific capability outcomes, including a secure cloud platform and landing zone, an enterprise data platform that supports governed real‑time and batch analytics, an AI/ML capability governed by model risk management, an API ecosystem for decoupled integration, and a modern DevSecOps toolchain with comprehensive observability and SRE practices. Information outcomes focus on trusted, lineage‑tracked datasets with privacy‑preserving access and continuous data‑quality controls. Process outcomes translate these capabilities into digitised, STP‑ready lending journeys, proactive fraud and risk oversight, automated and auditable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and begins with business analysis planning and monitoring to establish governance, a stakeholder map, a requirements management plan, and a review cadence, supported by a traceability matrix that links business goals to solution and transition requirements. Elicitation and collaboration use design‑thinking techniques with customers and internal users, complemented by value‑stream mapping and service‑blueprint workshops to surface pain points, moments that matter, and measurable outcomes. Strategy analysis assesses the current and desired future states, evaluates risks and constraints, and articulates a change strategy with quantified value. Requirements analysis and design definition decompose epics into features and user stories, specify non‑functional requirements (security, privacy, resilience, performance, operability), and develop domain and data models with clear evaluation criteria. Requirements life‑cycle management baselines and versions requirements, maintains bi‑directional traceability, and governs change. Solution evaluation executes pilots and A/B tests and measures KPIs such as STP rate, fraud hit‑rate and false‑positive ratio, report timeliness, and NPS, feeding benefits realisation tracking and investment decisions.</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could trigger penalties and reputational damage; a zero‑trust architecture with encryption in transit and at rest, strong IAM and least privilege, data‑loss prevention, privacy‑by‑design, and continuous monitoring with red‑team exercises reduces this risk (see [5], [6]). Regulatory non‑compliance can lead to fines, remediation, and constraints on operations; early regulator engagement, control libraries mapped to obligations, automated evidence capture, lineage‑based regulatory reporting, and independent testing and audit strengthen assurance (see [1], [9]). AI model risk—including bias, drift, and instability—may produce unfair outcomes or compliance breaches; an MRM framework with model inventories, differential testing, fairness and robustness checks, explainability, human‑in‑the‑loop for material decisions, and continuous monitoring mitigates this exposure (see [2], [3], [5], [7]). Migration‑related outages can impact customers and attract regulatory scrutiny; blue/green and canary releases, chaos and game‑day testing, automated rollback, capacity and resilience tests, and proven cutover playbooks reduce disruption. Data‑quality and lineage gaps cause incorrect decisions and reporting and increase reconciliation burden; data contracts, stewardship roles, automated quality checks, lineage tooling, and golden‑source management address these causes. Vendor lock‑in and portability concerns raise cost and flexibility risks; open interfaces, containerisation, multi‑AZ/region patterns, exit strategies, data‑egress plans, and portable design patterns create options. Change resistance and skills gaps can slow adoption and erode value; a structured change programme with training and enablement, communities of practice, internal champions, and outcome‑linked incentives sustains adoption. Ethical and societal risks of AI can erode customer trust; explicit ethics guidelines, transparency by default, and robust appeal and remediation processes with stakeholder engagement are required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explicit decommission gates. Clear accountability for benefits, transparent reporting through OKRs, and cross‑functional ways of working will sustain momentum. Over time, this operating model creates a repeatable pattern for safe, efficient change, building organisational confidence while continuously improving customer experience, operational efficiency, and risk control. Additionally, aligning budget cycles and portfolio governance with the cadence of delivery waves will protect runway for decommissioning legacy systems and reinforce accountability for benefits realisation across business and technology owners.</w:t>
      </w:r>
      <w:r>
        <w:t xml:space="preserve"> </w:t>
      </w:r>
      <w:r>
        <w:t xml:space="preserve">Additionally, aligning budget cycles and portfolio governance with the cadence of delivery waves will protect runway for decommissioning legacy systems and reinforce accountability for benefits realisation across business and technology owners.</w:t>
      </w:r>
      <w:r>
        <w:t xml:space="preserve"> </w:t>
      </w: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FirstParagraph"/>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2025-09-15T02:27:17Z</dcterms:created>
  <dcterms:modified xsi:type="dcterms:W3CDTF">2025-09-15T02:27:17Z</dcterms:modified>
</cp:coreProperties>
</file>

<file path=docProps/custom.xml><?xml version="1.0" encoding="utf-8"?>
<Properties xmlns="http://schemas.openxmlformats.org/officeDocument/2006/custom-properties" xmlns:vt="http://schemas.openxmlformats.org/officeDocument/2006/docPropsVTypes"/>
</file>