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benefits,Clear accountability for benefits,efits, reporting through OKRs, and cross‑functional working will sustain momentum. Over time, this operating model creates a repeatable pattern for safe, efficient change, building organisational confidence while improving customer experience, operational efficiency, and risk control. Additionally, align budget cycles wiAdditionally, align budget cycles with delivery waves and legacy decommissioning to maintain funding discipline, accountability, and risk transparency.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2025-09-15T02:37:11Z</dcterms:created>
  <dcterms:modified xsi:type="dcterms:W3CDTF">2025-09-15T02:37:11Z</dcterms:modified>
</cp:coreProperties>
</file>

<file path=docProps/custom.xml><?xml version="1.0" encoding="utf-8"?>
<Properties xmlns="http://schemas.openxmlformats.org/officeDocument/2006/custom-properties" xmlns:vt="http://schemas.openxmlformats.org/officeDocument/2006/docPropsVTypes"/>
</file>