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 Business outcomes: Improved regulatory compliance timeliness and accuracy; reduced fraud losses and false positives; shorter lending cycle times; higher NPS and retention; lower run‑costs; faster time‑to‑market.</w:t>
      </w:r>
      <w:r>
        <w:t xml:space="preserve"> </w:t>
      </w:r>
      <w:r>
        <w:t xml:space="preserve">• Capability outcomes: Cloud platform and landing zone; enterprise data platform with governed, real‑time and batch analytics; AI/ML capability with MRM; API ecosystem; DevSecOps toolchain; observability and SRE.</w:t>
      </w:r>
      <w:r>
        <w:t xml:space="preserve"> </w:t>
      </w:r>
      <w:r>
        <w:t xml:space="preserve">• Information outcomes: Trusted, lineage‑tracked datasets; privacy‑preserving access; continuous data quality.</w:t>
      </w:r>
      <w:r>
        <w:t xml:space="preserve"> </w:t>
      </w:r>
      <w:r>
        <w:t xml:space="preserve">• Process outcomes: Digitised, STP‑ready lending; proactive fraud and risk oversight; automated regulatory reporting;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 Business analysis planning and monitoring: Define BA governance, stakeholder map, requirements management plan, and cadence for reviews. Maintain a traceability matrix linking business goals to solution and transition requirements (BABOK: BAPM).</w:t>
      </w:r>
      <w:r>
        <w:t xml:space="preserve"> </w:t>
      </w:r>
      <w:r>
        <w:t xml:space="preserve">• Elicitation and collaboration: Apply design thinking (empathise, define, ideate, prototype, test) with customers and internal users; run value‑stream mapping and service blueprint workshops; capture pain points, moments‑that‑matter, and measurable outcomes (BABOK: E&amp;C).</w:t>
      </w:r>
      <w:r>
        <w:t xml:space="preserve"> </w:t>
      </w:r>
      <w:r>
        <w:t xml:space="preserve">• Strategy analysis: Assess current state, define future state, analyse risks, and develop change strategy; quantify expected value and constraints (BABOK: SA).</w:t>
      </w:r>
      <w:r>
        <w:t xml:space="preserve"> </w:t>
      </w:r>
      <w:r>
        <w:t xml:space="preserve">• Requirements analysis and design definition: Decompose epics into features and user stories; specify non‑functional requirements (security, privacy, resilience, performance, operability); produce domain and data models; define evaluation criteria (BABOK: RADD).</w:t>
      </w:r>
      <w:r>
        <w:t xml:space="preserve"> </w:t>
      </w:r>
      <w:r>
        <w:t xml:space="preserve">• Requirements life cycle management: Baseline, version, and govern requirements; ensure bi‑directional traceability; manage changes (BABOK: RLCM).</w:t>
      </w:r>
      <w:r>
        <w:t xml:space="preserve"> </w:t>
      </w:r>
      <w:r>
        <w:t xml:space="preserve">• Solution evaluation: Pilot and A/B test; measure KPIs such as STP rate, fraud hit‑rate, false positive ratio, report timeliness, and NPS; capture benefits realisation (BABOK: SE).</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 Data privacy and security</w:t>
      </w:r>
      <w:r>
        <w:t xml:space="preserve"> </w:t>
      </w:r>
      <w:r>
        <w:t xml:space="preserve">– Impact: Breach, penalties, reputational damage.</w:t>
      </w:r>
      <w:r>
        <w:t xml:space="preserve"> </w:t>
      </w:r>
      <w:r>
        <w:t xml:space="preserve">– Mitigation: Zero‑trust architecture, encryption in transit/at rest, strong IAM and least privilege, data loss prevention, privacy‑by‑design, continuous monitoring and red‑team exercises. See [5], [6].</w:t>
      </w:r>
      <w:r>
        <w:t xml:space="preserve"> </w:t>
      </w:r>
      <w:r>
        <w:t xml:space="preserve">• Regulatory non‑compliance</w:t>
      </w:r>
      <w:r>
        <w:t xml:space="preserve"> </w:t>
      </w:r>
      <w:r>
        <w:t xml:space="preserve">– Impact: Fines, remediation, constraints on operations.</w:t>
      </w:r>
      <w:r>
        <w:t xml:space="preserve"> </w:t>
      </w:r>
      <w:r>
        <w:t xml:space="preserve">– Mitigation: Early regulator engagement; control libraries mapped to obligations; automated evidence capture; lineage‑based regulatory reporting; independent testing and audit. See [1], [9].</w:t>
      </w:r>
      <w:r>
        <w:t xml:space="preserve"> </w:t>
      </w:r>
      <w:r>
        <w:t xml:space="preserve">• AI model risk (bias, drift, instability)</w:t>
      </w:r>
      <w:r>
        <w:t xml:space="preserve"> </w:t>
      </w:r>
      <w:r>
        <w:t xml:space="preserve">– Impact: Unfair decisions, compliance breaches, customer harm.</w:t>
      </w:r>
      <w:r>
        <w:t xml:space="preserve"> </w:t>
      </w:r>
      <w:r>
        <w:t xml:space="preserve">– Mitigation: MRM framework with model inventories, differential testing, fairness/robustness checks, explainability, human‑in‑the‑loop for material decisions, continuous monitoring. See [2], [3], [5], [7].</w:t>
      </w:r>
      <w:r>
        <w:t xml:space="preserve"> </w:t>
      </w:r>
      <w:r>
        <w:t xml:space="preserve">• Migration and change‑induced outages</w:t>
      </w:r>
      <w:r>
        <w:t xml:space="preserve"> </w:t>
      </w:r>
      <w:r>
        <w:t xml:space="preserve">– Impact: Customer impact, regulatory scrutiny.</w:t>
      </w:r>
      <w:r>
        <w:t xml:space="preserve"> </w:t>
      </w:r>
      <w:r>
        <w:t xml:space="preserve">– Mitigation: Blue/green and canary releases; chaos and game‑day testing; automated rollback; capacity and resilience tests; proven cutover playbooks.</w:t>
      </w:r>
      <w:r>
        <w:t xml:space="preserve"> </w:t>
      </w:r>
      <w:r>
        <w:t xml:space="preserve">• Data quality and lineage gaps</w:t>
      </w:r>
      <w:r>
        <w:t xml:space="preserve"> </w:t>
      </w:r>
      <w:r>
        <w:t xml:space="preserve">– Impact: Incorrect decisions and reports; reconciliation burden.</w:t>
      </w:r>
      <w:r>
        <w:t xml:space="preserve"> </w:t>
      </w:r>
      <w:r>
        <w:t xml:space="preserve">– Mitigation: Data contracts, stewardship roles, automated quality checks, lineage tooling, golden‑source management.</w:t>
      </w:r>
      <w:r>
        <w:t xml:space="preserve"> </w:t>
      </w:r>
      <w:r>
        <w:t xml:space="preserve">• Vendor lock‑in and portability</w:t>
      </w:r>
      <w:r>
        <w:t xml:space="preserve"> </w:t>
      </w:r>
      <w:r>
        <w:t xml:space="preserve">– Impact: Cost escalation, constrained flexibility.</w:t>
      </w:r>
      <w:r>
        <w:t xml:space="preserve"> </w:t>
      </w:r>
      <w:r>
        <w:t xml:space="preserve">– Mitigation: Open interfaces, containerisation, multi‑AZ/region deployment patterns, exit strategies and data egress plans, portable design patterns.</w:t>
      </w:r>
      <w:r>
        <w:t xml:space="preserve"> </w:t>
      </w:r>
      <w:r>
        <w:t xml:space="preserve">• Change resistance and skills gaps</w:t>
      </w:r>
      <w:r>
        <w:t xml:space="preserve"> </w:t>
      </w:r>
      <w:r>
        <w:t xml:space="preserve">– Impact: Slow adoption; value erosion.</w:t>
      </w:r>
      <w:r>
        <w:t xml:space="preserve"> </w:t>
      </w:r>
      <w:r>
        <w:t xml:space="preserve">– Mitigation: Structured change programme, training and enablement, communities of practice, internal champions, outcome‑linked incentives.</w:t>
      </w:r>
      <w:r>
        <w:t xml:space="preserve"> </w:t>
      </w:r>
      <w:r>
        <w:t xml:space="preserve">• Ethical and societal risks of AI</w:t>
      </w:r>
      <w:r>
        <w:t xml:space="preserve"> </w:t>
      </w:r>
      <w:r>
        <w:t xml:space="preserve">– Impact: Customer trust erosion.</w:t>
      </w:r>
      <w:r>
        <w:t xml:space="preserve"> </w:t>
      </w:r>
      <w:r>
        <w:t xml:space="preserve">– Mitigation: Ethics guidelines, transparency by default, appeal and remediation processes, stakeholder engagement. See [5].</w:t>
      </w:r>
      <w:r>
        <w:t xml:space="preserve"> </w:t>
      </w:r>
      <w:r>
        <w:t xml:space="preserve">Monitoring and assurance</w:t>
      </w:r>
      <w:r>
        <w:t xml:space="preserve"> </w:t>
      </w:r>
      <w:r>
        <w:t xml:space="preserve">• KPIs and KRIs covering resilience (SLOs/SLA compliance), fraud metrics, STP, regulatory timeliness, model performance (AUC, drift, fairness metrics), and customer outcomes. Benefits realisation dashboards align with business cases and are reviewed per wave gate.</w:t>
      </w:r>
      <w:r>
        <w:t xml:space="preserve"> </w:t>
      </w:r>
      <w:r>
        <w:t xml:space="preserve">• Three lines of defence: 1st line engineering/operations; 2nd line risk/compliance and model risk; 3rd line internal audit.</w:t>
      </w:r>
      <w:r>
        <w:t xml:space="preserve"> </w:t>
      </w:r>
      <w:r>
        <w:t xml:space="preserve">• Independent validation for material models and periodic re‑approval; comprehensive documentation for regulators and auditors.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p>
    <w:p>
      <w:pPr>
        <w:pStyle w:val="FirstParagraph"/>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2025-09-15T01:59:32Z</dcterms:created>
  <dcterms:modified xsi:type="dcterms:W3CDTF">2025-09-15T01:59:32Z</dcterms:modified>
</cp:coreProperties>
</file>

<file path=docProps/custom.xml><?xml version="1.0" encoding="utf-8"?>
<Properties xmlns="http://schemas.openxmlformats.org/officeDocument/2006/custom-properties" xmlns:vt="http://schemas.openxmlformats.org/officeDocument/2006/docPropsVTypes"/>
</file>