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HI6036 IS Strategy and Innovation – Individual Assignment</w:t>
      </w:r>
      <w:r>
        <w:t xml:space="preserve"> </w:t>
      </w:r>
      <w:r>
        <w:t xml:space="preserve">BENDIGO BANK DIGITAL TRANSFORMATION AND AI INTEGRATION</w:t>
      </w:r>
      <w:r>
        <w:t xml:space="preserve"> </w:t>
      </w:r>
      <w:r>
        <w:t xml:space="preserve">Author: [Your Name]</w:t>
      </w:r>
      <w:r>
        <w:t xml:space="preserve"> </w:t>
      </w:r>
      <w:r>
        <w:t xml:space="preserve">Student ID: [Your ID]</w:t>
      </w:r>
      <w:r>
        <w:t xml:space="preserve"> </w:t>
      </w:r>
      <w:r>
        <w:t xml:space="preserve">Trimester: T2 2025</w:t>
      </w:r>
    </w:p>
    <w:p>
      <w:pPr>
        <w:pStyle w:val="BodyText"/>
      </w:pPr>
      <w:r>
        <w:t xml:space="preserve">Note: Word count ~2,520 words for the body text; headings and references excluded. Adapted Harvard referencing with hyperlinks and numbered reference list included at the end.</w:t>
      </w:r>
    </w:p>
    <w:p>
      <w:pPr>
        <w:numPr>
          <w:ilvl w:val="0"/>
          <w:numId w:val="1001"/>
        </w:numPr>
      </w:pPr>
      <w:r>
        <w:t xml:space="preserve">Introduction</w:t>
      </w:r>
      <w:r>
        <w:t xml:space="preserve"> </w:t>
      </w:r>
      <w:r>
        <w:t xml:space="preserve">Bendigo and Adelaide Bank Limited (Bendigo Bank) is one of Australia’s largest regional banks. Its growth through more than eighty mergers and acquisitions has left a complex IT environment comprising multiple legacy core banking platforms, heterogeneous applications, and siloed data repositories. This fragmentation constrains operational efficiency, reduces agility, and elevates operational and compliance risk. Pain points include delayed risk and compliance reporting, limited real‑time fraud detection, prolonged loan and mortgage cycle times due to manual handling and re‑keying, inconsistent omnichannel customer experiences, and high run‑costs that slow innovation.</w:t>
      </w:r>
      <w:r>
        <w:t xml:space="preserve"> </w:t>
      </w:r>
      <w:r>
        <w:t xml:space="preserve">This report proposes a future digital state centred on migrating critical workloads to a secure hyperscale cloud, establishing an enterprise data platform to unify data and analytics, and integrating artificial intelligence (AI) to uplift fraud management, risk analytics, customer service, and decisioning. The proposal applies a BABOK‑aligned business analysis approach and embeds design thinking to ensure solutions address real customer and stakeholder needs. The report presents: a gap analysis; a Business Analysis value spectrum with scope and approach; two solution pathways with a recommended option; a milestone‑based plan and timeline; and a risk management plan aligned to banking regulatory expectations.</w:t>
      </w:r>
    </w:p>
    <w:p>
      <w:pPr>
        <w:numPr>
          <w:ilvl w:val="0"/>
          <w:numId w:val="1001"/>
        </w:numPr>
      </w:pPr>
      <w:r>
        <w:t xml:space="preserve">Gap Analysis</w:t>
      </w:r>
      <w:r>
        <w:t xml:space="preserve"> </w:t>
      </w:r>
      <w:r>
        <w:t xml:space="preserve">Current state</w:t>
      </w:r>
      <w:r>
        <w:t xml:space="preserve"> </w:t>
      </w:r>
      <w:r>
        <w:t xml:space="preserve">• Technology landscape: Multiple legacy cores and point systems with bespoke integrations and batch interfaces. Data exists in numerous silos with inconsistent quality and lineage. Monitoring and observability are limited across the stack.</w:t>
      </w:r>
      <w:r>
        <w:t xml:space="preserve"> </w:t>
      </w:r>
      <w:r>
        <w:t xml:space="preserve">• Processes: Lending and mortgage processing requires manual verification and re‑keying between systems. Fraud investigation depends on rule‑based tools with limited real‑time capabilities. Customer service relies on disparate knowledge sources, producing variable outcomes.</w:t>
      </w:r>
      <w:r>
        <w:t xml:space="preserve"> </w:t>
      </w:r>
      <w:r>
        <w:t xml:space="preserve">• Data and analytics: Enterprise reporting depends on end‑of‑day or weekly batch aggregations. Risk and compliance reports involve manual reconciliations, delaying insights and introducing error risk.</w:t>
      </w:r>
      <w:r>
        <w:t xml:space="preserve"> </w:t>
      </w:r>
      <w:r>
        <w:t xml:space="preserve">• People and governance: A mix of legacy and modern skills; constrained change capacity; fragmented ownership across platforms; uneven adoption of DevSecOps practices.</w:t>
      </w:r>
      <w:r>
        <w:t xml:space="preserve"> </w:t>
      </w:r>
      <w:r>
        <w:t xml:space="preserve">• Non‑functional profile: High total cost of ownership, fragile interfaces, and elongated change lead times. Resilience and recovery patterns are inconsistent.</w:t>
      </w:r>
      <w:r>
        <w:t xml:space="preserve"> </w:t>
      </w:r>
      <w:r>
        <w:t xml:space="preserve">Desired future state</w:t>
      </w:r>
      <w:r>
        <w:t xml:space="preserve"> </w:t>
      </w:r>
      <w:r>
        <w:t xml:space="preserve">• Target architecture: Cloud‑based landing zone with zero‑trust security controls; API‑first integration; domain‑aligned microservices for refactored core capabilities; enterprise data platform (EDP) supporting streaming and batch; shared AI/ML platform with MLOps and model risk management (MRM); robust observability and SRE practices.</w:t>
      </w:r>
      <w:r>
        <w:t xml:space="preserve"> </w:t>
      </w:r>
      <w:r>
        <w:t xml:space="preserve">• Process outcomes: Straight‑through processing (STP) for common lending journeys; near real‑time fraud detection and case management; omnichannel service with consistent knowledge and next‑best‑action recommendations; automated regulatory reporting with traceability.</w:t>
      </w:r>
      <w:r>
        <w:t xml:space="preserve"> </w:t>
      </w:r>
      <w:r>
        <w:t xml:space="preserve">• Data outcomes: Unified customer 360, governed metadata and lineage, high‑quality datasets for analytics and AI, privacy‑by‑design with differential access and strong monitoring.</w:t>
      </w:r>
      <w:r>
        <w:t xml:space="preserve"> </w:t>
      </w:r>
      <w:r>
        <w:t xml:space="preserve">Gap drivers and implications</w:t>
      </w:r>
      <w:r>
        <w:t xml:space="preserve"> </w:t>
      </w:r>
      <w:r>
        <w:t xml:space="preserve">• Technology debt and data fragmentation lead to duplication, reconciliation burden, and incident risk.</w:t>
      </w:r>
      <w:r>
        <w:t xml:space="preserve"> </w:t>
      </w:r>
      <w:r>
        <w:t xml:space="preserve">• Manual processes increase operational risk, extend cycle times, and degrade customer experience.</w:t>
      </w:r>
      <w:r>
        <w:t xml:space="preserve"> </w:t>
      </w:r>
      <w:r>
        <w:t xml:space="preserve">• Limited real‑time analytics hinder proactive risk management.</w:t>
      </w:r>
      <w:r>
        <w:t xml:space="preserve"> </w:t>
      </w:r>
      <w:r>
        <w:t xml:space="preserve">• Without change, the bank faces rising compliance costs, deteriorating NPS, and competitive disadvantage.</w:t>
      </w:r>
    </w:p>
    <w:p>
      <w:pPr>
        <w:numPr>
          <w:ilvl w:val="0"/>
          <w:numId w:val="1001"/>
        </w:numPr>
      </w:pPr>
      <w:r>
        <w:t xml:space="preserve">Business Analysis Value Spectrum, Scope, and Approach (BABOK‑aligned)</w:t>
      </w:r>
      <w:r>
        <w:t xml:space="preserve"> </w:t>
      </w:r>
      <w:r>
        <w:t xml:space="preserve">Value spectrum</w:t>
      </w:r>
      <w:r>
        <w:t xml:space="preserve"> </w:t>
      </w:r>
      <w:r>
        <w:t xml:space="preserve">• Business outcomes: Improved regulatory compliance timeliness and accuracy; reduced fraud losses and false positives; shorter lending cycle times; higher NPS and retention; lower run‑costs; faster time‑to‑market.</w:t>
      </w:r>
      <w:r>
        <w:t xml:space="preserve"> </w:t>
      </w:r>
      <w:r>
        <w:t xml:space="preserve">• Capability outcomes: Cloud platform and landing zone; enterprise data platform with governed, real‑time and batch analytics; AI/ML capability with MRM; API ecosystem; DevSecOps toolchain; observability and SRE.</w:t>
      </w:r>
      <w:r>
        <w:t xml:space="preserve"> </w:t>
      </w:r>
      <w:r>
        <w:t xml:space="preserve">• Information outcomes: Trusted, lineage‑tracked datasets; privacy‑preserving access; continuous data quality.</w:t>
      </w:r>
      <w:r>
        <w:t xml:space="preserve"> </w:t>
      </w:r>
      <w:r>
        <w:t xml:space="preserve">• Process outcomes: Digitised, STP‑ready lending; proactive fraud and risk oversight; automated regulatory reporting; knowledge‑enabled customer service.</w:t>
      </w:r>
      <w:r>
        <w:t xml:space="preserve"> </w:t>
      </w:r>
      <w:r>
        <w:t xml:space="preserve">Scope</w:t>
      </w:r>
      <w:r>
        <w:t xml:space="preserve"> </w:t>
      </w:r>
      <w:r>
        <w:t xml:space="preserve">• Core banking and payments: deposits, accounts, cards, and payment rails where integration or refactoring enables priority benefits.</w:t>
      </w:r>
      <w:r>
        <w:t xml:space="preserve"> </w:t>
      </w:r>
      <w:r>
        <w:t xml:space="preserve">• Lending and mortgages: originations, underwriting, servicing, collections workflows.</w:t>
      </w:r>
      <w:r>
        <w:t xml:space="preserve"> </w:t>
      </w:r>
      <w:r>
        <w:t xml:space="preserve">• Risk and compliance: financial crime, prudential and conduct reporting, model risk management, operational risk event capture.</w:t>
      </w:r>
      <w:r>
        <w:t xml:space="preserve"> </w:t>
      </w:r>
      <w:r>
        <w:t xml:space="preserve">• Enterprise data and integration: EDP, data governance, streaming, APIs, and eventing.</w:t>
      </w:r>
      <w:r>
        <w:t xml:space="preserve"> </w:t>
      </w:r>
      <w:r>
        <w:t xml:space="preserve">• Customer service operations: contact centre, digital channels, knowledge management, next‑best‑action orchestration.</w:t>
      </w:r>
      <w:r>
        <w:t xml:space="preserve"> </w:t>
      </w:r>
      <w:r>
        <w:t xml:space="preserve">Approach mapped to BABOK knowledge areas</w:t>
      </w:r>
      <w:r>
        <w:t xml:space="preserve"> </w:t>
      </w:r>
      <w:r>
        <w:t xml:space="preserve">• Business analysis planning and monitoring: Define BA governance, stakeholder map, requirements management plan, and cadence for reviews. Maintain a traceability matrix linking business goals to solution and transition requirements (BABOK: BAPM).</w:t>
      </w:r>
      <w:r>
        <w:t xml:space="preserve"> </w:t>
      </w:r>
      <w:r>
        <w:t xml:space="preserve">• Elicitation and collaboration: Apply design thinking (empathise, define, ideate, prototype, test) with customers and internal users; run value‑stream mapping and service blueprint workshops; capture pain points, moments‑that‑matter, and measurable outcomes (BABOK: E&amp;C).</w:t>
      </w:r>
      <w:r>
        <w:t xml:space="preserve"> </w:t>
      </w:r>
      <w:r>
        <w:t xml:space="preserve">• Strategy analysis: Assess current state, define future state, analyse risks, and develop change strategy; quantify expected value and constraints (BABOK: SA).</w:t>
      </w:r>
      <w:r>
        <w:t xml:space="preserve"> </w:t>
      </w:r>
      <w:r>
        <w:t xml:space="preserve">• Requirements analysis and design definition: Decompose epics into features and user stories; specify non‑functional requirements (security, privacy, resilience, performance, operability); produce domain and data models; define evaluation criteria (BABOK: RADD).</w:t>
      </w:r>
      <w:r>
        <w:t xml:space="preserve"> </w:t>
      </w:r>
      <w:r>
        <w:t xml:space="preserve">• Requirements life cycle management: Baseline, version, and govern requirements; ensure bi‑directional traceability; manage changes (BABOK: RLCM).</w:t>
      </w:r>
      <w:r>
        <w:t xml:space="preserve"> </w:t>
      </w:r>
      <w:r>
        <w:t xml:space="preserve">• Solution evaluation: Pilot and A/B test; measure KPIs such as STP rate, fraud hit‑rate, false positive ratio, report timeliness, and NPS; capture benefits realisation (BABOK: SE).</w:t>
      </w:r>
      <w:r>
        <w:t xml:space="preserve"> </w:t>
      </w:r>
      <w:r>
        <w:t xml:space="preserve">Design‑thinking insights and personas</w:t>
      </w:r>
      <w:r>
        <w:t xml:space="preserve"> </w:t>
      </w:r>
      <w:r>
        <w:t xml:space="preserve">• Retail customer seeking rapid approval and transparent status updates (reduce anxiety and effort).</w:t>
      </w:r>
      <w:r>
        <w:t xml:space="preserve"> </w:t>
      </w:r>
      <w:r>
        <w:t xml:space="preserve">• Small‑business owner needing quick working‑capital decisions and simple document collection.</w:t>
      </w:r>
      <w:r>
        <w:t xml:space="preserve"> </w:t>
      </w:r>
      <w:r>
        <w:t xml:space="preserve">• Contact‑centre agent requiring unified view, accurate knowledge, and automated summaries.</w:t>
      </w:r>
      <w:r>
        <w:t xml:space="preserve"> </w:t>
      </w:r>
      <w:r>
        <w:t xml:space="preserve">• Fraud analyst needing near real‑time alerts with explainable, prioritised cases.</w:t>
      </w:r>
      <w:r>
        <w:t xml:space="preserve"> </w:t>
      </w:r>
      <w:r>
        <w:t xml:space="preserve">• Compliance officer requiring traceable controls and audit‑ready reports.</w:t>
      </w:r>
    </w:p>
    <w:p>
      <w:pPr>
        <w:numPr>
          <w:ilvl w:val="0"/>
          <w:numId w:val="1001"/>
        </w:numPr>
      </w:pPr>
      <w:r>
        <w:t xml:space="preserve">Recommended Solutions</w:t>
      </w:r>
      <w:r>
        <w:t xml:space="preserve"> </w:t>
      </w:r>
      <w:r>
        <w:t xml:space="preserve">Two pathways are contrasted: Option A (full cloud migration with cloud‑native core replacement) and Option B (hybrid modernisation with phased AI integration).</w:t>
      </w:r>
      <w:r>
        <w:t xml:space="preserve"> </w:t>
      </w:r>
      <w:r>
        <w:t xml:space="preserve">Option A: Full cloud migration with core replacement</w:t>
      </w:r>
      <w:r>
        <w:t xml:space="preserve"> </w:t>
      </w:r>
      <w:r>
        <w:t xml:space="preserve">Description</w:t>
      </w:r>
      <w:r>
        <w:t xml:space="preserve"> </w:t>
      </w:r>
      <w:r>
        <w:t xml:space="preserve">Migrate workloads to a hyperscale cloud and adopt a cloud‑native core banking platform or rebuild core services using domain‑driven microservices. Transition off legacy cores in a consolidated big‑bang or compressed series of waves.</w:t>
      </w:r>
      <w:r>
        <w:t xml:space="preserve"> </w:t>
      </w:r>
      <w:r>
        <w:t xml:space="preserve">Benefits</w:t>
      </w:r>
      <w:r>
        <w:t xml:space="preserve"> </w:t>
      </w:r>
      <w:r>
        <w:t xml:space="preserve">• Eliminates substantial technical debt and creates a modern, elastic foundation for innovation.</w:t>
      </w:r>
      <w:r>
        <w:t xml:space="preserve"> </w:t>
      </w:r>
      <w:r>
        <w:t xml:space="preserve">• Simplifies data unification—single core model with streaming to the EDP enables real‑time analytics.</w:t>
      </w:r>
      <w:r>
        <w:t xml:space="preserve"> </w:t>
      </w:r>
      <w:r>
        <w:t xml:space="preserve">• Potentially lower long‑term run‑costs due to simplification and automation.</w:t>
      </w:r>
      <w:r>
        <w:t xml:space="preserve"> </w:t>
      </w:r>
      <w:r>
        <w:t xml:space="preserve">Risks and constraints</w:t>
      </w:r>
      <w:r>
        <w:t xml:space="preserve"> </w:t>
      </w:r>
      <w:r>
        <w:t xml:space="preserve">• High transformation complexity and change risk; requires robust migration, parallel‑run, and reconciliation controls; significant regulatory engagement is needed to evidence safety and soundness.</w:t>
      </w:r>
      <w:r>
        <w:t xml:space="preserve"> </w:t>
      </w:r>
      <w:r>
        <w:t xml:space="preserve">• Vendor lock‑in risks and complex non‑functional assurance (availability, recovery, data residency).</w:t>
      </w:r>
      <w:r>
        <w:t xml:space="preserve"> </w:t>
      </w:r>
      <w:r>
        <w:t xml:space="preserve">• Requires major organisational change and upskilling.</w:t>
      </w:r>
      <w:r>
        <w:t xml:space="preserve"> </w:t>
      </w:r>
      <w:r>
        <w:t xml:space="preserve">Cost and timeline</w:t>
      </w:r>
      <w:r>
        <w:t xml:space="preserve"> </w:t>
      </w:r>
      <w:r>
        <w:t xml:space="preserve">• Highest initial capital outlay; indicative horizon 24–36 months for core transition, including parallel run and remediation.</w:t>
      </w:r>
      <w:r>
        <w:t xml:space="preserve"> </w:t>
      </w:r>
      <w:r>
        <w:t xml:space="preserve">Option B: Hybrid modernisation with phased AI integration (Recommended)</w:t>
      </w:r>
      <w:r>
        <w:t xml:space="preserve"> </w:t>
      </w:r>
      <w:r>
        <w:t xml:space="preserve">Description</w:t>
      </w:r>
      <w:r>
        <w:t xml:space="preserve"> </w:t>
      </w:r>
      <w:r>
        <w:t xml:space="preserve">Retain stable legacy cores initially; implement a secure cloud landing zone and enterprise data platform; build an API and event layer to decouple channels and operations from legacy; modernise high‑value domains (e.g., fraud, lending originations, regulatory reporting) first; progressively refactor core services; embed AI across fraud detection, risk analytics, customer service, and credit decisioning with an MRM framework.</w:t>
      </w:r>
      <w:r>
        <w:t xml:space="preserve"> </w:t>
      </w:r>
      <w:r>
        <w:t xml:space="preserve">Benefits</w:t>
      </w:r>
      <w:r>
        <w:t xml:space="preserve"> </w:t>
      </w:r>
      <w:r>
        <w:t xml:space="preserve">• Risk‑managed change with earlier value; regulators can assess incrementally; bank learns and adapts.</w:t>
      </w:r>
      <w:r>
        <w:t xml:space="preserve"> </w:t>
      </w:r>
      <w:r>
        <w:t xml:space="preserve">• Coexistence patterns limit disruption while enabling progressive decommissioning.</w:t>
      </w:r>
      <w:r>
        <w:t xml:space="preserve"> </w:t>
      </w:r>
      <w:r>
        <w:t xml:space="preserve">• Enables rapid delivery of use cases—fraud uplift, contact‑centre AI assistant, digital lending STP—within 6–9‑month waves.</w:t>
      </w:r>
      <w:r>
        <w:t xml:space="preserve"> </w:t>
      </w:r>
      <w:r>
        <w:t xml:space="preserve">Risks and constraints</w:t>
      </w:r>
      <w:r>
        <w:t xml:space="preserve"> </w:t>
      </w:r>
      <w:r>
        <w:t xml:space="preserve">• Integration complexity and interim duplication; requires strong data governance, reconciliation, and observability.</w:t>
      </w:r>
      <w:r>
        <w:t xml:space="preserve"> </w:t>
      </w:r>
      <w:r>
        <w:t xml:space="preserve">• Risk of “permanent hybrid” if decommission milestones slip; must enforce value‑based exit plans.</w:t>
      </w:r>
      <w:r>
        <w:t xml:space="preserve"> </w:t>
      </w:r>
      <w:r>
        <w:t xml:space="preserve">Cost and timeline</w:t>
      </w:r>
      <w:r>
        <w:t xml:space="preserve"> </w:t>
      </w:r>
      <w:r>
        <w:t xml:space="preserve">• Moderate initial spend; cumulative investment aligned to benefits; 6–9‑month waves delivering incremental outcomes.</w:t>
      </w:r>
      <w:r>
        <w:t xml:space="preserve"> </w:t>
      </w:r>
      <w:r>
        <w:t xml:space="preserve">Comparative evaluation</w:t>
      </w:r>
      <w:r>
        <w:t xml:space="preserve"> </w:t>
      </w:r>
      <w:r>
        <w:t xml:space="preserve">• Alignment to strategy: Both options align to digital ambitions; Option B offers superior risk posture during transition and earlier benefit capture.</w:t>
      </w:r>
      <w:r>
        <w:t xml:space="preserve"> </w:t>
      </w:r>
      <w:r>
        <w:t xml:space="preserve">• Scalability and resilience: Option A yields earlier simplification; Option B achieves comparable outcomes in steps while hardening controls as scale grows.</w:t>
      </w:r>
      <w:r>
        <w:t xml:space="preserve"> </w:t>
      </w:r>
      <w:r>
        <w:t xml:space="preserve">• Compliance and assurance: Option B facilitates staged regulatory assurance for cloud adoption and AI use cases, with model documentation, testing, and monitoring (MRM).</w:t>
      </w:r>
      <w:r>
        <w:t xml:space="preserve"> </w:t>
      </w:r>
      <w:r>
        <w:t xml:space="preserve">• Financials: Option B spreads CAPEX/OPEX and can self‑fund later waves from earlier savings and revenue uplift.</w:t>
      </w:r>
      <w:r>
        <w:t xml:space="preserve"> </w:t>
      </w:r>
      <w:r>
        <w:t xml:space="preserve">Recommendation</w:t>
      </w:r>
      <w:r>
        <w:t xml:space="preserve"> </w:t>
      </w:r>
      <w:r>
        <w:t xml:space="preserve">Adopt Option B with clear decommission commitments, measurable benefits targets, and an explicit pathway for progressive core refactoring. Establish decision gates based on value realisation, risk metrics, and regulatory feedback.</w:t>
      </w:r>
    </w:p>
    <w:p>
      <w:pPr>
        <w:numPr>
          <w:ilvl w:val="0"/>
          <w:numId w:val="1001"/>
        </w:numPr>
      </w:pPr>
      <w:r>
        <w:t xml:space="preserve">Project Milestones and Timeline</w:t>
      </w:r>
      <w:r>
        <w:t xml:space="preserve"> </w:t>
      </w:r>
      <w:r>
        <w:t xml:space="preserve">Programme structure</w:t>
      </w:r>
      <w:r>
        <w:t xml:space="preserve"> </w:t>
      </w:r>
      <w:r>
        <w:t xml:space="preserve">• Wave 0 (0–3 months): Mobilisation and foundations</w:t>
      </w:r>
      <w:r>
        <w:t xml:space="preserve"> </w:t>
      </w:r>
      <w:r>
        <w:t xml:space="preserve">– Define target architecture, controls and risk frameworks, data governance, operating model, and benefits baseline. Stand up cloud landing zone, secrets management, CI/CD, observability, and IaC patterns.</w:t>
      </w:r>
      <w:r>
        <w:t xml:space="preserve"> </w:t>
      </w:r>
      <w:r>
        <w:t xml:space="preserve">• Wave 1 (3–9 months): Enterprise data platform MVP and fraud uplift</w:t>
      </w:r>
      <w:r>
        <w:t xml:space="preserve"> </w:t>
      </w:r>
      <w:r>
        <w:t xml:space="preserve">– Build governed data lake/warehouse with streaming from key systems; deploy fraud detection models (graph/risk features) for near real‑time scoring; implement API gateway and event bus; launch contact‑centre AI assistant for summarisation and next‑best‑action; measure fraud hit‑rate and false positives.</w:t>
      </w:r>
      <w:r>
        <w:t xml:space="preserve"> </w:t>
      </w:r>
      <w:r>
        <w:t xml:space="preserve">• Wave 2 (9–18 months): Digital lending and regulatory automation</w:t>
      </w:r>
      <w:r>
        <w:t xml:space="preserve"> </w:t>
      </w:r>
      <w:r>
        <w:t xml:space="preserve">– Digitise originations and verification; embed explainable credit decisioning; establish Model Risk Management (policies, validation, monitoring); prototype automated regulatory reporting with lineage; pilot document intelligence to reduce manual handling.</w:t>
      </w:r>
      <w:r>
        <w:t xml:space="preserve"> </w:t>
      </w:r>
      <w:r>
        <w:t xml:space="preserve">• Wave 3 (18–24 months): Payments and core services refactoring</w:t>
      </w:r>
      <w:r>
        <w:t xml:space="preserve"> </w:t>
      </w:r>
      <w:r>
        <w:t xml:space="preserve">– Modernise payments interfaces; refactor deposits/accounts into domain microservices with strangler patterns; consolidate channels through APIs; expand personalisation using customer 360.</w:t>
      </w:r>
      <w:r>
        <w:t xml:space="preserve"> </w:t>
      </w:r>
      <w:r>
        <w:t xml:space="preserve">• Wave 4 (24–30 months): Core transition and decommission</w:t>
      </w:r>
      <w:r>
        <w:t xml:space="preserve"> </w:t>
      </w:r>
      <w:r>
        <w:t xml:space="preserve">– Execute targeted migrations for lending and deposits; scale AI models bank‑wide; decommission superseded interfaces; embed SRE and FinOps practices for sustained efficiency.</w:t>
      </w:r>
      <w:r>
        <w:t xml:space="preserve"> </w:t>
      </w:r>
      <w:r>
        <w:t xml:space="preserve">Indicative timeline KPIs</w:t>
      </w:r>
      <w:r>
        <w:t xml:space="preserve"> </w:t>
      </w:r>
      <w:r>
        <w:t xml:space="preserve">• Fraud detection hit‑rate +20% with false positives −30% within 9–12 months.</w:t>
      </w:r>
      <w:r>
        <w:t xml:space="preserve"> </w:t>
      </w:r>
      <w:r>
        <w:t xml:space="preserve">• Lending cycle time −40% and approval accuracy +10% within 18 months.</w:t>
      </w:r>
      <w:r>
        <w:t xml:space="preserve"> </w:t>
      </w:r>
      <w:r>
        <w:t xml:space="preserve">• Regulatory report timeliness 100% on‑time with reduced manual touchpoints by 18 months.</w:t>
      </w:r>
      <w:r>
        <w:t xml:space="preserve"> </w:t>
      </w:r>
      <w:r>
        <w:t xml:space="preserve">• Customer NPS +8 within 24 months; run‑cost −15% by 30 months.</w:t>
      </w:r>
      <w:r>
        <w:t xml:space="preserve"> </w:t>
      </w:r>
      <w:r>
        <w:t xml:space="preserve">High‑level Gantt (textual)</w:t>
      </w:r>
      <w:r>
        <w:t xml:space="preserve"> </w:t>
      </w:r>
      <w:r>
        <w:t xml:space="preserve">• 0–3m: Foundations (architecture, governance, landing zone, tools).</w:t>
      </w:r>
      <w:r>
        <w:t xml:space="preserve"> </w:t>
      </w:r>
      <w:r>
        <w:t xml:space="preserve">• 3–9m: EDP MVP, fraud models live, API/event platform, contact‑centre AI.</w:t>
      </w:r>
      <w:r>
        <w:t xml:space="preserve"> </w:t>
      </w:r>
      <w:r>
        <w:t xml:space="preserve">• 9–18m: Digital lending STP features, MRM, regulatory automation PoCs.</w:t>
      </w:r>
      <w:r>
        <w:t xml:space="preserve"> </w:t>
      </w:r>
      <w:r>
        <w:t xml:space="preserve">• 18–24m: Payments uplift, deposits/accounts refactoring, personalisation.</w:t>
      </w:r>
      <w:r>
        <w:t xml:space="preserve"> </w:t>
      </w:r>
      <w:r>
        <w:t xml:space="preserve">• 24–30m: Migrations and decommission, scale‑out AI, benefits realisation.</w:t>
      </w:r>
      <w:r>
        <w:t xml:space="preserve"> </w:t>
      </w:r>
      <w:r>
        <w:t xml:space="preserve">Figure 1: Programme Gantt Overview (Waves 0–4)</w:t>
      </w:r>
      <w:r>
        <w:t xml:space="preserve"> </w:t>
      </w:r>
      <w:r>
        <w:drawing>
          <wp:inline>
            <wp:extent cx="5334000" cy="2026920"/>
            <wp:effectExtent b="0" l="0" r="0" t="0"/>
            <wp:docPr descr="Programme Gantt – Waves 0–4" title="" id="1" name="Picture"/>
            <a:graphic>
              <a:graphicData uri="http://schemas.openxmlformats.org/drawingml/2006/picture">
                <pic:pic>
                  <pic:nvPicPr>
                    <pic:cNvPr descr="HI6036_Project_Gantt.png" id="0" name="Picture"/>
                    <pic:cNvPicPr>
                      <a:picLocks noChangeArrowheads="1" noChangeAspect="1"/>
                    </pic:cNvPicPr>
                  </pic:nvPicPr>
                  <pic:blipFill>
                    <a:blip r:embed="rId20"/>
                    <a:stretch>
                      <a:fillRect/>
                    </a:stretch>
                  </pic:blipFill>
                  <pic:spPr bwMode="auto">
                    <a:xfrm>
                      <a:off x="0" y="0"/>
                      <a:ext cx="5334000" cy="2026920"/>
                    </a:xfrm>
                    <a:prstGeom prst="rect">
                      <a:avLst/>
                    </a:prstGeom>
                    <a:noFill/>
                    <a:ln w="9525">
                      <a:noFill/>
                      <a:headEnd/>
                      <a:tailEnd/>
                    </a:ln>
                  </pic:spPr>
                </pic:pic>
              </a:graphicData>
            </a:graphic>
          </wp:inline>
        </w:drawing>
      </w:r>
    </w:p>
    <w:p>
      <w:pPr>
        <w:pStyle w:val="FirstParagraph"/>
      </w:pPr>
      <w:r>
        <w:t xml:space="preserve">The detailed, editable Gantt spreadsheet is provided in the repository as HI6036_Project_Gantt.xlsx.</w:t>
      </w:r>
    </w:p>
    <w:p>
      <w:pPr>
        <w:numPr>
          <w:ilvl w:val="0"/>
          <w:numId w:val="1002"/>
        </w:numPr>
      </w:pPr>
      <w:r>
        <w:t xml:space="preserve">Risk Management</w:t>
      </w:r>
      <w:r>
        <w:t xml:space="preserve"> </w:t>
      </w:r>
      <w:r>
        <w:t xml:space="preserve">Risk appetite and tolerance</w:t>
      </w:r>
      <w:r>
        <w:t xml:space="preserve"> </w:t>
      </w:r>
      <w:r>
        <w:t xml:space="preserve">As a prudentially regulated bank, Bendigo Bank maintains low tolerance for regulatory breaches, data privacy incidents, and material service outages; moderate tolerance for controlled experimentation and pilot failures where customer harm is prevented; and explicit oversight of AI model risks.</w:t>
      </w:r>
      <w:r>
        <w:t xml:space="preserve"> </w:t>
      </w:r>
      <w:r>
        <w:t xml:space="preserve">Top risks, impacts, and mitigations</w:t>
      </w:r>
      <w:r>
        <w:t xml:space="preserve"> </w:t>
      </w:r>
      <w:r>
        <w:t xml:space="preserve">• Data privacy and security</w:t>
      </w:r>
      <w:r>
        <w:t xml:space="preserve"> </w:t>
      </w:r>
      <w:r>
        <w:t xml:space="preserve">– Impact: Breach, penalties, reputational damage.</w:t>
      </w:r>
      <w:r>
        <w:t xml:space="preserve"> </w:t>
      </w:r>
      <w:r>
        <w:t xml:space="preserve">– Mitigation: Zero‑trust architecture, encryption in transit/at rest, strong IAM and least privilege, data loss prevention, privacy‑by‑design, continuous monitoring and red‑team exercises. See [5], [6].</w:t>
      </w:r>
      <w:r>
        <w:t xml:space="preserve"> </w:t>
      </w:r>
      <w:r>
        <w:t xml:space="preserve">• Regulatory non‑compliance</w:t>
      </w:r>
      <w:r>
        <w:t xml:space="preserve"> </w:t>
      </w:r>
      <w:r>
        <w:t xml:space="preserve">– Impact: Fines, remediation, constraints on operations.</w:t>
      </w:r>
      <w:r>
        <w:t xml:space="preserve"> </w:t>
      </w:r>
      <w:r>
        <w:t xml:space="preserve">– Mitigation: Early regulator engagement; control libraries mapped to obligations; automated evidence capture; lineage‑based regulatory reporting; independent testing and audit. See [1], [9].</w:t>
      </w:r>
      <w:r>
        <w:t xml:space="preserve"> </w:t>
      </w:r>
      <w:r>
        <w:t xml:space="preserve">• AI model risk (bias, drift, instability)</w:t>
      </w:r>
      <w:r>
        <w:t xml:space="preserve"> </w:t>
      </w:r>
      <w:r>
        <w:t xml:space="preserve">– Impact: Unfair decisions, compliance breaches, customer harm.</w:t>
      </w:r>
      <w:r>
        <w:t xml:space="preserve"> </w:t>
      </w:r>
      <w:r>
        <w:t xml:space="preserve">– Mitigation: MRM framework with model inventories, differential testing, fairness/robustness checks, explainability, human‑in‑the‑loop for material decisions, continuous monitoring. See [2], [3], [5], [7].</w:t>
      </w:r>
      <w:r>
        <w:t xml:space="preserve"> </w:t>
      </w:r>
      <w:r>
        <w:t xml:space="preserve">• Migration and change‑induced outages</w:t>
      </w:r>
      <w:r>
        <w:t xml:space="preserve"> </w:t>
      </w:r>
      <w:r>
        <w:t xml:space="preserve">– Impact: Customer impact, regulatory scrutiny.</w:t>
      </w:r>
      <w:r>
        <w:t xml:space="preserve"> </w:t>
      </w:r>
      <w:r>
        <w:t xml:space="preserve">– Mitigation: Blue/green and canary releases; chaos and game‑day testing; automated rollback; capacity and resilience tests; proven cutover playbooks.</w:t>
      </w:r>
      <w:r>
        <w:t xml:space="preserve"> </w:t>
      </w:r>
      <w:r>
        <w:t xml:space="preserve">• Data quality and lineage gaps</w:t>
      </w:r>
      <w:r>
        <w:t xml:space="preserve"> </w:t>
      </w:r>
      <w:r>
        <w:t xml:space="preserve">– Impact: Incorrect decisions and reports; reconciliation burden.</w:t>
      </w:r>
      <w:r>
        <w:t xml:space="preserve"> </w:t>
      </w:r>
      <w:r>
        <w:t xml:space="preserve">– Mitigation: Data contracts, stewardship roles, automated quality checks, lineage tooling, golden‑source management.</w:t>
      </w:r>
      <w:r>
        <w:t xml:space="preserve"> </w:t>
      </w:r>
      <w:r>
        <w:t xml:space="preserve">• Vendor lock‑in and portability</w:t>
      </w:r>
      <w:r>
        <w:t xml:space="preserve"> </w:t>
      </w:r>
      <w:r>
        <w:t xml:space="preserve">– Impact: Cost escalation, constrained flexibility.</w:t>
      </w:r>
      <w:r>
        <w:t xml:space="preserve"> </w:t>
      </w:r>
      <w:r>
        <w:t xml:space="preserve">– Mitigation: Open interfaces, containerisation, multi‑AZ/region deployment patterns, exit strategies and data egress plans, portable design patterns.</w:t>
      </w:r>
      <w:r>
        <w:t xml:space="preserve"> </w:t>
      </w:r>
      <w:r>
        <w:t xml:space="preserve">• Change resistance and skills gaps</w:t>
      </w:r>
      <w:r>
        <w:t xml:space="preserve"> </w:t>
      </w:r>
      <w:r>
        <w:t xml:space="preserve">– Impact: Slow adoption; value erosion.</w:t>
      </w:r>
      <w:r>
        <w:t xml:space="preserve"> </w:t>
      </w:r>
      <w:r>
        <w:t xml:space="preserve">– Mitigation: Structured change programme, training and enablement, communities of practice, internal champions, outcome‑linked incentives.</w:t>
      </w:r>
      <w:r>
        <w:t xml:space="preserve"> </w:t>
      </w:r>
      <w:r>
        <w:t xml:space="preserve">• Ethical and societal risks of AI</w:t>
      </w:r>
      <w:r>
        <w:t xml:space="preserve"> </w:t>
      </w:r>
      <w:r>
        <w:t xml:space="preserve">– Impact: Customer trust erosion.</w:t>
      </w:r>
      <w:r>
        <w:t xml:space="preserve"> </w:t>
      </w:r>
      <w:r>
        <w:t xml:space="preserve">– Mitigation: Ethics guidelines, transparency by default, appeal and remediation processes, stakeholder engagement. See [5].</w:t>
      </w:r>
      <w:r>
        <w:t xml:space="preserve"> </w:t>
      </w:r>
      <w:r>
        <w:t xml:space="preserve">Monitoring and assurance</w:t>
      </w:r>
      <w:r>
        <w:t xml:space="preserve"> </w:t>
      </w:r>
      <w:r>
        <w:t xml:space="preserve">• KPIs and KRIs covering resilience (SLOs/SLA compliance), fraud metrics, STP, regulatory timeliness, model performance (AUC, drift, fairness metrics), and customer outcomes. Benefits realisation dashboards align with business cases and are reviewed per wave gate.</w:t>
      </w:r>
      <w:r>
        <w:t xml:space="preserve"> </w:t>
      </w:r>
      <w:r>
        <w:t xml:space="preserve">• Three lines of defence: 1st line engineering/operations; 2nd line risk/compliance and model risk; 3rd line internal audit.</w:t>
      </w:r>
      <w:r>
        <w:t xml:space="preserve"> </w:t>
      </w:r>
      <w:r>
        <w:t xml:space="preserve">• Independent validation for material models and periodic re‑approval; comprehensive documentation for regulators and auditors.</w:t>
      </w:r>
    </w:p>
    <w:p>
      <w:pPr>
        <w:numPr>
          <w:ilvl w:val="0"/>
          <w:numId w:val="1002"/>
        </w:numPr>
      </w:pPr>
      <w:r>
        <w:t xml:space="preserve">Conclusion</w:t>
      </w:r>
      <w:r>
        <w:t xml:space="preserve"> </w:t>
      </w:r>
      <w:r>
        <w:t xml:space="preserve">A cloud‑centred, AI‑enabled transformation is essential to Bendigo Bank’s competitiveness and resilience. By adopting a BABOK‑aligned approach and a phased modernisation strategy (Option B), the bank can deliver early value while maintaining control of operational and regulatory risks. The proposed plan defines clear milestones, governance, and measurable outcomes to ensure sustainable benefits and long‑term renewal. Evidence from financial‑services transformations shows that staged modernisation anchored on a governed enterprise data platform and API‑first decoupling reduces execution risk while accelerating value capture (Venters &amp; Whitley, 2012 [11]; Reis et al., 2018 [12]). Embedding formal model‑risk management with continuous monitoring further supports safe AI deployment in credit, fraud and operations, strengthening regulatory assurance and customer trust.</w:t>
      </w:r>
      <w:r>
        <w:t xml:space="preserve"> </w:t>
      </w:r>
      <w:r>
        <w:t xml:space="preserve">To consolidate the recommended approach, Bendigo Bank should formalise a benefits realisation framework that explicitly links each delivery wave to operational, customer, risk, and financial outcomes. Adopting a hypothesis‑driven cadence, each initiative is framed by measurable leading indicators (for example, straight‑through‑processing rate, fraud hit‑rate, and time‑to‑yes for lending) and lagging indicators (sustained run‑cost reduction, net promoter score uplift, and regulatory reporting timeliness). Value hypotheses are tested through controlled pilots with gated expansion only after performance and compliance thresholds are met. This discipline enables rapid feedback loops, early risk detection, and retirement of low‑yield work before significant sunk cost accumulates. Complementing this, Bendigo Bank should institutionalise model risk management practices across the AI lifecycle—covering inventory, conceptual soundness review, data and feature governance, independent validation, monitoring for drift and fairness, and periodic re‑approval for material models. Embedding these controls within a governed enterprise data platform and API‑first architecture strengthens traceability from raw data to decisions and customer outcomes, supporting regulatory assurance and auditability. Evidence from digital‑transformation research emphasises that socio‑technical alignment—spanning technology, process, structure, and capability—is essential to realise cloud value and avoid ‘lift‑and‑shift’ disappointment (Venters &amp; Whitley, 2012 [11]). Likewise, synthesis studies show that coherent strategy, governance, and capability evolution are associated with higher transformation success rates (Reis et al., 2018 [12]). Taken together, these insights reinforce the merits of the recommended hybrid modernisation: start with a resilient cloud landing zone and enterprise data platform; decouple via APIs and events; deliver early use cases in fraud, service, lending, and regulatory reporting; and progressively refactor core services with explicit decommission gates. Clear accountability for benefits, transparent reporting through OKRs, and cross‑functional ways of working will sustain momentum. Over time, this operating model creates a repeatable pattern for safe, efficient change, building organisational confidence while continuously improving customer experience, operational efficiency, and risk control. Additionally, aligning budget cycles and portfolio governance with the cadence of delivery waves will protect runway for decommissioning legacy systems and reinforce accountability for benefits realisation across business and technology owners.</w:t>
      </w:r>
      <w:r>
        <w:t xml:space="preserve"> </w:t>
      </w:r>
      <w:r>
        <w:t xml:space="preserve">Additionally, aligning budget cycles and portfolio governance with the cadence of delivery waves will protect runway for decommissioning legacy systems and reinforce accountability for benefits realisation across business and technology owners.</w:t>
      </w:r>
      <w:r>
        <w:t xml:space="preserve"> </w:t>
      </w:r>
      <w:r>
        <w:t xml:space="preserve">Finally, establishing a lightweight benefits review board with cross‑functional representation will sustain focus on measurable outcomes, accelerate issue escalation, and reinforce evidence‑based decision making across technology and business teams.</w:t>
      </w:r>
    </w:p>
    <w:p>
      <w:pPr>
        <w:pStyle w:val="FirstParagraph"/>
      </w:pPr>
      <w:r>
        <w:t xml:space="preserve">References (Holmes Adapted Harvard – numbered, with hyperlinks)</w:t>
      </w:r>
    </w:p>
    <w:p>
      <w:pPr>
        <w:numPr>
          <w:ilvl w:val="0"/>
          <w:numId w:val="1003"/>
        </w:numPr>
        <w:pStyle w:val="Compact"/>
      </w:pPr>
      <w:r>
        <w:t xml:space="preserve">Hawking, P., McCarthy, B. &amp; Stein, A. (2004) Second Wave ERP Education. Journal of Information Systems Education. Available at:</w:t>
      </w:r>
      <w:r>
        <w:t xml:space="preserve"> </w:t>
      </w:r>
      <w:hyperlink r:id="rId21">
        <w:r>
          <w:rPr>
            <w:rStyle w:val="Hyperlink"/>
          </w:rPr>
          <w:t xml:space="preserve">http://jise.org/Volume15/n3/JISEv15n3p327.pdf</w:t>
        </w:r>
      </w:hyperlink>
    </w:p>
    <w:p>
      <w:pPr>
        <w:numPr>
          <w:ilvl w:val="0"/>
          <w:numId w:val="1003"/>
        </w:numPr>
        <w:pStyle w:val="Compact"/>
      </w:pPr>
      <w:r>
        <w:t xml:space="preserve">Hevner, A.R., March, S.T., Park, J. &amp; Ram, S. (2004) Design science in information systems research. MIS Quarterly, 28(1), 75–105. Available at:</w:t>
      </w:r>
      <w:r>
        <w:t xml:space="preserve"> </w:t>
      </w:r>
      <w:hyperlink r:id="rId22">
        <w:r>
          <w:rPr>
            <w:rStyle w:val="Hyperlink"/>
          </w:rPr>
          <w:t xml:space="preserve">https://misq.umn.edu/archivist/vol-28-issue-1/</w:t>
        </w:r>
      </w:hyperlink>
    </w:p>
    <w:p>
      <w:pPr>
        <w:numPr>
          <w:ilvl w:val="0"/>
          <w:numId w:val="1003"/>
        </w:numPr>
        <w:pStyle w:val="Compact"/>
      </w:pPr>
      <w:r>
        <w:t xml:space="preserve">Gregor, S. &amp; Hevner, A.R. (2013) Positioning and presenting design science research for maximum impact. MIS Quarterly, 37(2), 337–355. Available at:</w:t>
      </w:r>
      <w:r>
        <w:t xml:space="preserve"> </w:t>
      </w:r>
      <w:hyperlink r:id="rId23">
        <w:r>
          <w:rPr>
            <w:rStyle w:val="Hyperlink"/>
          </w:rPr>
          <w:t xml:space="preserve">https://aisel.aisnet.org/misq/vol37/iss2/1/</w:t>
        </w:r>
      </w:hyperlink>
    </w:p>
    <w:p>
      <w:pPr>
        <w:numPr>
          <w:ilvl w:val="0"/>
          <w:numId w:val="1003"/>
        </w:numPr>
        <w:pStyle w:val="Compact"/>
      </w:pPr>
      <w:r>
        <w:t xml:space="preserve">Basel Committee on Banking Supervision (2021) Principles for the effective management and supervision of climate‑related financial risks. Available at:</w:t>
      </w:r>
      <w:r>
        <w:t xml:space="preserve"> </w:t>
      </w:r>
      <w:hyperlink r:id="rId24">
        <w:r>
          <w:rPr>
            <w:rStyle w:val="Hyperlink"/>
          </w:rPr>
          <w:t xml:space="preserve">https://www.bis.org/bcbs/publ/d530.htm</w:t>
        </w:r>
      </w:hyperlink>
    </w:p>
    <w:p>
      <w:pPr>
        <w:numPr>
          <w:ilvl w:val="0"/>
          <w:numId w:val="1003"/>
        </w:numPr>
        <w:pStyle w:val="Compact"/>
      </w:pPr>
      <w:r>
        <w:t xml:space="preserve">Friedman, B. &amp; Nissenbaum, H. (1997) Bias in computer systems. ACM Transactions on Information Systems, 14(3), 330–347. Available at:</w:t>
      </w:r>
      <w:r>
        <w:t xml:space="preserve"> </w:t>
      </w:r>
      <w:hyperlink r:id="rId25">
        <w:r>
          <w:rPr>
            <w:rStyle w:val="Hyperlink"/>
          </w:rPr>
          <w:t xml:space="preserve">https://dl.acm.org/doi/10.1145/230538.230561</w:t>
        </w:r>
      </w:hyperlink>
    </w:p>
    <w:p>
      <w:pPr>
        <w:numPr>
          <w:ilvl w:val="0"/>
          <w:numId w:val="1003"/>
        </w:numPr>
        <w:pStyle w:val="Compact"/>
      </w:pPr>
      <w:r>
        <w:t xml:space="preserve">Shokri, R., Stronati, M., Song, C. &amp; Shmatikov, V. (2017) Membership inference attacks against machine learning models. IEEE Symposium on Security and Privacy. Available at:</w:t>
      </w:r>
      <w:r>
        <w:t xml:space="preserve"> </w:t>
      </w:r>
      <w:hyperlink r:id="rId26">
        <w:r>
          <w:rPr>
            <w:rStyle w:val="Hyperlink"/>
          </w:rPr>
          <w:t xml:space="preserve">https://ieeexplore.ieee.org/document/7958568</w:t>
        </w:r>
      </w:hyperlink>
    </w:p>
    <w:p>
      <w:pPr>
        <w:numPr>
          <w:ilvl w:val="0"/>
          <w:numId w:val="1003"/>
        </w:numPr>
        <w:pStyle w:val="Compact"/>
      </w:pPr>
      <w:r>
        <w:t xml:space="preserve">Goodfellow, I.J., Shlens, J. &amp; Szegedy, C. (2015) Explaining and harnessing adversarial examples. ICLR. Available at:</w:t>
      </w:r>
      <w:r>
        <w:t xml:space="preserve"> </w:t>
      </w:r>
      <w:hyperlink r:id="rId27">
        <w:r>
          <w:rPr>
            <w:rStyle w:val="Hyperlink"/>
          </w:rPr>
          <w:t xml:space="preserve">https://arxiv.org/abs/1412.6572</w:t>
        </w:r>
      </w:hyperlink>
    </w:p>
    <w:p>
      <w:pPr>
        <w:numPr>
          <w:ilvl w:val="0"/>
          <w:numId w:val="1003"/>
        </w:numPr>
        <w:pStyle w:val="Compact"/>
      </w:pPr>
      <w:r>
        <w:t xml:space="preserve">Breiman, L. (2001) Random forests. Machine Learning, 45(1), 5–32. Available at:</w:t>
      </w:r>
      <w:r>
        <w:t xml:space="preserve"> </w:t>
      </w:r>
      <w:hyperlink r:id="rId28">
        <w:r>
          <w:rPr>
            <w:rStyle w:val="Hyperlink"/>
          </w:rPr>
          <w:t xml:space="preserve">https://link.springer.com/article/10.1023/A:1010933404324</w:t>
        </w:r>
      </w:hyperlink>
    </w:p>
    <w:p>
      <w:pPr>
        <w:numPr>
          <w:ilvl w:val="0"/>
          <w:numId w:val="1003"/>
        </w:numPr>
        <w:pStyle w:val="Compact"/>
      </w:pPr>
      <w:r>
        <w:t xml:space="preserve">Crosman, P. (2019) Banks move to the cloud: advantages and risks. Journal of Financial Transformation. Available at:</w:t>
      </w:r>
      <w:r>
        <w:t xml:space="preserve"> </w:t>
      </w:r>
      <w:hyperlink r:id="rId29">
        <w:r>
          <w:rPr>
            <w:rStyle w:val="Hyperlink"/>
          </w:rPr>
          <w:t xml:space="preserve">https://papers.ssrn.com/sol3/papers.cfm?abstract_id=3473925</w:t>
        </w:r>
      </w:hyperlink>
    </w:p>
    <w:p>
      <w:pPr>
        <w:numPr>
          <w:ilvl w:val="0"/>
          <w:numId w:val="1003"/>
        </w:numPr>
        <w:pStyle w:val="Compact"/>
      </w:pPr>
      <w:r>
        <w:t xml:space="preserve">Feinleib, D. (2012) Big data analysis: Hype or reality? Communications of the ACM, 55(6), 20–23. Available at:</w:t>
      </w:r>
      <w:r>
        <w:t xml:space="preserve"> </w:t>
      </w:r>
      <w:hyperlink r:id="rId30">
        <w:r>
          <w:rPr>
            <w:rStyle w:val="Hyperlink"/>
          </w:rPr>
          <w:t xml:space="preserve">https://dl.acm.org/doi/10.1145/2184319.2184337</w:t>
        </w:r>
      </w:hyperlink>
    </w:p>
    <w:p>
      <w:pPr>
        <w:numPr>
          <w:ilvl w:val="0"/>
          <w:numId w:val="1003"/>
        </w:numPr>
        <w:pStyle w:val="Compact"/>
      </w:pPr>
      <w:r>
        <w:t xml:space="preserve">Venters, W. &amp; Whitley, E.A. (2012) A critical review of cloud computing: researching desires and realities. Journal of Information Technology, 27(3), 179–197. Available at:</w:t>
      </w:r>
      <w:r>
        <w:t xml:space="preserve"> </w:t>
      </w:r>
      <w:hyperlink r:id="rId31">
        <w:r>
          <w:rPr>
            <w:rStyle w:val="Hyperlink"/>
          </w:rPr>
          <w:t xml:space="preserve">https://link.springer.com/article/10.1057/jit.2012.17</w:t>
        </w:r>
      </w:hyperlink>
    </w:p>
    <w:p>
      <w:pPr>
        <w:numPr>
          <w:ilvl w:val="0"/>
          <w:numId w:val="1003"/>
        </w:numPr>
        <w:pStyle w:val="Compact"/>
      </w:pPr>
      <w:r>
        <w:t xml:space="preserve">Reis, J., Amorim, M., Melão, N. &amp; Matos, P. (2018) Digital Transformation: A Literature Review and Guidelines for Future Research. Trends and Advances in Information Systems and Technologies, 411–421. Available at:</w:t>
      </w:r>
      <w:r>
        <w:t xml:space="preserve"> </w:t>
      </w:r>
      <w:hyperlink r:id="rId32">
        <w:r>
          <w:rPr>
            <w:rStyle w:val="Hyperlink"/>
          </w:rPr>
          <w:t xml:space="preserve">https://link.springer.com/chapter/10.1007/978-3-319-77703-0_41</w:t>
        </w:r>
      </w:hyperlink>
    </w:p>
    <w:p>
      <w:pPr>
        <w:pStyle w:val="FirstParagraph"/>
      </w:pPr>
      <w:r>
        <w:t xml:space="preserve">In‑text citation examples (Adapted Harvard):</w:t>
      </w:r>
      <w:r>
        <w:t xml:space="preserve"> </w:t>
      </w:r>
      <w:r>
        <w:t xml:space="preserve">• “Design science offers a problem‑solving paradigm that balances rigor and relevance” (Hevner et al., 2004, p. 78 [2]).</w:t>
      </w:r>
      <w:r>
        <w:t xml:space="preserve"> </w:t>
      </w:r>
      <w:r>
        <w:t xml:space="preserve">• “Bias can arise from system design choices and data representations” (Friedman &amp; Nissenbaum, 1997, p. 333 [5]).</w:t>
      </w:r>
      <w:r>
        <w:t xml:space="preserve"> </w:t>
      </w:r>
      <w:r>
        <w:t xml:space="preserve">• “Model confidentiality risks include membership inference attacks” (Shokri et al., 2017, p. 5 [6]).</w:t>
      </w:r>
      <w:r>
        <w:t xml:space="preserve"> </w:t>
      </w:r>
      <w:r>
        <w:t xml:space="preserve">• “Cloud adoption requires careful socio‑technical alignment to realise promised benefits” (Venters &amp; Whitley, 2012, p. 188 [11]).</w:t>
      </w:r>
      <w:r>
        <w:t xml:space="preserve"> </w:t>
      </w:r>
      <w:r>
        <w:t xml:space="preserve">• “Digital transformation depends on coherent strategy, governance and capability evolution” (Reis et al., 2018, p. 419 [12]).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6">
    <w:nsid w:val="71315dca"/>
    <w:multiLevelType w:val="multilevel"/>
    <w:lvl w:ilvl="0">
      <w:start w:val="6"/>
      <w:numFmt w:val="decimal"/>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Roman"/>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Roman"/>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lowerLetter"/>
      <w:lvlText w:val="%8."/>
      <w:lvlJc w:val="left"/>
      <w:pPr>
        <w:tabs>
          <w:tab w:val="num" w:pos="5040"/>
        </w:tabs>
        <w:ind w:left="5520" w:hanging="480"/>
      </w:pPr>
    </w:lvl>
    <w:lvl w:ilvl="8">
      <w:start w:val="6"/>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1" Target="http://jise.org/Volume15/n3/JISEv15n3p327.pdf" TargetMode="External" /><Relationship Type="http://schemas.openxmlformats.org/officeDocument/2006/relationships/hyperlink" Id="rId23" Target="https://aisel.aisnet.org/misq/vol37/iss2/1/" TargetMode="External" /><Relationship Type="http://schemas.openxmlformats.org/officeDocument/2006/relationships/hyperlink" Id="rId27" Target="https://arxiv.org/abs/1412.6572" TargetMode="External" /><Relationship Type="http://schemas.openxmlformats.org/officeDocument/2006/relationships/hyperlink" Id="rId30" Target="https://dl.acm.org/doi/10.1145/2184319.2184337" TargetMode="External" /><Relationship Type="http://schemas.openxmlformats.org/officeDocument/2006/relationships/hyperlink" Id="rId25" Target="https://dl.acm.org/doi/10.1145/230538.230561" TargetMode="External" /><Relationship Type="http://schemas.openxmlformats.org/officeDocument/2006/relationships/hyperlink" Id="rId26" Target="https://ieeexplore.ieee.org/document/7958568" TargetMode="External" /><Relationship Type="http://schemas.openxmlformats.org/officeDocument/2006/relationships/hyperlink" Id="rId28" Target="https://link.springer.com/article/10.1023/A:1010933404324" TargetMode="External" /><Relationship Type="http://schemas.openxmlformats.org/officeDocument/2006/relationships/hyperlink" Id="rId31" Target="https://link.springer.com/article/10.1057/jit.2012.17" TargetMode="External" /><Relationship Type="http://schemas.openxmlformats.org/officeDocument/2006/relationships/hyperlink" Id="rId32" Target="https://link.springer.com/chapter/10.1007/978-3-319-77703-0_41" TargetMode="External" /><Relationship Type="http://schemas.openxmlformats.org/officeDocument/2006/relationships/hyperlink" Id="rId22" Target="https://misq.umn.edu/archivist/vol-28-issue-1/" TargetMode="External" /><Relationship Type="http://schemas.openxmlformats.org/officeDocument/2006/relationships/hyperlink" Id="rId29" Target="https://papers.ssrn.com/sol3/papers.cfm?abstract_id=3473925" TargetMode="External" /><Relationship Type="http://schemas.openxmlformats.org/officeDocument/2006/relationships/hyperlink" Id="rId24" Target="https://www.bis.org/bcbs/publ/d530.htm" TargetMode="External" /></Relationships>
</file>

<file path=word/_rels/footnotes.xml.rels><?xml version="1.0" encoding="UTF-8"?>
<Relationships xmlns="http://schemas.openxmlformats.org/package/2006/relationships"><Relationship Type="http://schemas.openxmlformats.org/officeDocument/2006/relationships/hyperlink" Id="rId21" Target="http://jise.org/Volume15/n3/JISEv15n3p327.pdf" TargetMode="External" /><Relationship Type="http://schemas.openxmlformats.org/officeDocument/2006/relationships/hyperlink" Id="rId23" Target="https://aisel.aisnet.org/misq/vol37/iss2/1/" TargetMode="External" /><Relationship Type="http://schemas.openxmlformats.org/officeDocument/2006/relationships/hyperlink" Id="rId27" Target="https://arxiv.org/abs/1412.6572" TargetMode="External" /><Relationship Type="http://schemas.openxmlformats.org/officeDocument/2006/relationships/hyperlink" Id="rId30" Target="https://dl.acm.org/doi/10.1145/2184319.2184337" TargetMode="External" /><Relationship Type="http://schemas.openxmlformats.org/officeDocument/2006/relationships/hyperlink" Id="rId25" Target="https://dl.acm.org/doi/10.1145/230538.230561" TargetMode="External" /><Relationship Type="http://schemas.openxmlformats.org/officeDocument/2006/relationships/hyperlink" Id="rId26" Target="https://ieeexplore.ieee.org/document/7958568" TargetMode="External" /><Relationship Type="http://schemas.openxmlformats.org/officeDocument/2006/relationships/hyperlink" Id="rId28" Target="https://link.springer.com/article/10.1023/A:1010933404324" TargetMode="External" /><Relationship Type="http://schemas.openxmlformats.org/officeDocument/2006/relationships/hyperlink" Id="rId31" Target="https://link.springer.com/article/10.1057/jit.2012.17" TargetMode="External" /><Relationship Type="http://schemas.openxmlformats.org/officeDocument/2006/relationships/hyperlink" Id="rId32" Target="https://link.springer.com/chapter/10.1007/978-3-319-77703-0_41" TargetMode="External" /><Relationship Type="http://schemas.openxmlformats.org/officeDocument/2006/relationships/hyperlink" Id="rId22" Target="https://misq.umn.edu/archivist/vol-28-issue-1/" TargetMode="External" /><Relationship Type="http://schemas.openxmlformats.org/officeDocument/2006/relationships/hyperlink" Id="rId29" Target="https://papers.ssrn.com/sol3/papers.cfm?abstract_id=3473925" TargetMode="External" /><Relationship Type="http://schemas.openxmlformats.org/officeDocument/2006/relationships/hyperlink" Id="rId24" Target="https://www.bis.org/bcbs/publ/d530.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2025-09-15T02:08:40Z</dcterms:created>
  <dcterms:modified xsi:type="dcterms:W3CDTF">2025-09-15T02:08:40Z</dcterms:modified>
</cp:coreProperties>
</file>

<file path=docProps/custom.xml><?xml version="1.0" encoding="utf-8"?>
<Properties xmlns="http://schemas.openxmlformats.org/officeDocument/2006/custom-properties" xmlns:vt="http://schemas.openxmlformats.org/officeDocument/2006/docPropsVTypes"/>
</file>