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Full-Stack / Backend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software architecture, cloud infrastructure design, and technical decision-making for clients including Grupo Porcelanosa, Mediapro Brands, Mercado Ibérico del Gas (MIBGAS), and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Bootstrap new projects: frameworks, tooling, CI/CD pipelines, and test suites so teams hit the ground running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team through trust and mentorship: write production-quality code as a concrete standard, involve the team in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 and development of the consumer platform (Fly-Fut Ligas): backend, fully automated AI video pipeline for drone-recorded football matches, management tools, and mobile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prototyped an iPad app for autonomous drone control in football training sessions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Fly-Fut Pro suite: iPad recording app and tactical analysis tool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resort website with Next.js, TypeScript, and Firebase, shipping SSR hosting with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products, ensuring visual consistency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a Svelte-based mobile-first Digital Kiosk SPA, hosted on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for a hospitality startup serving small resorts and B&amp;Bs for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a custom Property Management System (PMS) and client websites end-to-end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infrastructure, and coordination of external contractors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end-to-end product work for 7 years: UX/UI design through full-stack development for digital campaigns and applications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products for brands including Ferran Adrià (Adrià en casa), Telefónica Movistar, and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R&amp;D and frontend mobile development during the agency's final growth stage before its acquisition by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Co-built atopechavalote.com,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Architecture · Team Leadership · AI/ML pipelines · Video Encoding · Cloud Infrastructure · Firebase · Svelte · Design Systems · MDX · HTML · CSS · JavaScript · Mobile Web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2026-06-11T09:56:38.925Z</dcterms:created>
  <dcterms:modified xsi:type="dcterms:W3CDTF">2026-06-11T09:56:38.925Z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