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0" w:after="60"/>
        <w:jc w:val="center"/>
      </w:pPr>
      <w:r>
        <w:rPr>
          <w:rFonts w:ascii="Arial" w:cs="Arial" w:eastAsia="Arial" w:hAnsi="Arial"/>
          <w:b/>
          <w:bCs/>
          <w:color w:val="555555"/>
          <w:sz w:val="20"/>
          <w:szCs w:val="20"/>
        </w:rPr>
        <w:t xml:space="preserve">PHASE 2 CLINICAL TRIAL PROTOCOL SYNOPSIS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6B" w:sz="1"/>
              <w:left w:val="single" w:color="1B3A6B" w:sz="1"/>
              <w:bottom w:val="single" w:color="1B3A6B" w:sz="1"/>
              <w:right w:val="single" w:color="1B3A6B" w:sz="1"/>
            </w:tcBorders>
            <w:shd w:fill="1B3A6B" w:val="clear"/>
            <w:tcMar>
              <w:top w:type="dxa" w:w="160"/>
              <w:left w:type="dxa" w:w="200"/>
              <w:bottom w:type="dxa" w:w="160"/>
              <w:right w:type="dxa" w:w="200"/>
            </w:tcMar>
          </w:tcPr>
          <w:p>
            <w:pPr>
              <w:jc w:val="center"/>
            </w:pPr>
            <w:r>
              <w:rPr>
                <w:rFonts w:ascii="Arial" w:cs="Arial" w:eastAsia="Arial" w:hAnsi="Arial"/>
                <w:b/>
                <w:bCs/>
                <w:color w:val="FFFFFF"/>
                <w:sz w:val="34"/>
                <w:szCs w:val="34"/>
              </w:rPr>
              <w:t xml:space="preserve">CERVIMAB-CRC-002</w:t>
            </w:r>
          </w:p>
        </w:tc>
      </w:tr>
      <w:tr>
        <w:tc>
          <w:tcPr>
            <w:tcW w:type="dxa" w:w="9720"/>
            <w:tcBorders>
              <w:top w:val="single" w:color="1B3A6B" w:sz="1"/>
              <w:left w:val="single" w:color="1B3A6B" w:sz="1"/>
              <w:bottom w:val="single" w:color="1B3A6B" w:sz="1"/>
              <w:right w:val="single" w:color="1B3A6B" w:sz="1"/>
            </w:tcBorders>
            <w:shd w:fill="2E6DB4"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A Randomized, Open-Label, Multicenter Phase 2 Trial</w:t>
            </w:r>
          </w:p>
        </w:tc>
      </w:tr>
      <w:tr>
        <w:tc>
          <w:tcPr>
            <w:tcW w:type="dxa" w:w="9720"/>
            <w:tcBorders>
              <w:top w:val="single" w:color="1B3A6B" w:sz="1"/>
              <w:left w:val="single" w:color="1B3A6B" w:sz="1"/>
              <w:bottom w:val="single" w:color="1B3A6B" w:sz="1"/>
              <w:right w:val="single" w:color="1B3A6B" w:sz="1"/>
            </w:tcBorders>
            <w:shd w:fill="2E6DB4"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of CERVIMAB versus Standard-of-Care Chemotherapy</w:t>
            </w:r>
          </w:p>
        </w:tc>
      </w:tr>
      <w:tr>
        <w:tc>
          <w:tcPr>
            <w:tcW w:type="dxa" w:w="9720"/>
            <w:tcBorders>
              <w:top w:val="single" w:color="1B3A6B" w:sz="1"/>
              <w:left w:val="single" w:color="1B3A6B" w:sz="1"/>
              <w:bottom w:val="single" w:color="1B3A6B" w:sz="1"/>
              <w:right w:val="single" w:color="1B3A6B" w:sz="1"/>
            </w:tcBorders>
            <w:shd w:fill="2E6DB4"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in Previously Treated Patients with dMMR/MSI-H</w:t>
            </w:r>
          </w:p>
        </w:tc>
      </w:tr>
      <w:tr>
        <w:tc>
          <w:tcPr>
            <w:tcW w:type="dxa" w:w="9720"/>
            <w:tcBorders>
              <w:top w:val="single" w:color="1B3A6B" w:sz="1"/>
              <w:left w:val="single" w:color="1B3A6B" w:sz="1"/>
              <w:bottom w:val="single" w:color="1B3A6B" w:sz="1"/>
              <w:right w:val="single" w:color="1B3A6B" w:sz="1"/>
            </w:tcBorders>
            <w:shd w:fill="2E6DB4"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Metastatic Colorectal Cancer</w:t>
            </w:r>
          </w:p>
        </w:tc>
      </w:tr>
      <w:tr>
        <w:tc>
          <w:tcPr>
            <w:tcW w:type="dxa" w:w="9720"/>
            <w:tcBorders>
              <w:top w:val="single" w:color="1B3A6B" w:sz="1"/>
              <w:left w:val="single" w:color="1B3A6B" w:sz="1"/>
              <w:bottom w:val="single" w:color="1B3A6B" w:sz="1"/>
              <w:right w:val="single" w:color="1B3A6B" w:sz="1"/>
            </w:tcBorders>
            <w:shd w:fill="FFFFFF" w:val="clear"/>
            <w:tcMar>
              <w:top w:type="dxa" w:w="160"/>
              <w:left w:type="dxa" w:w="200"/>
              <w:bottom w:type="dxa" w:w="160"/>
              <w:right w:type="dxa" w:w="200"/>
            </w:tcMar>
          </w:tcPr>
          <w:p>
            <w:pPr>
              <w:jc w:val="center"/>
            </w:pPr>
            <w:r>
              <w:rPr>
                <w:rFonts w:ascii="Arial" w:cs="Arial" w:eastAsia="Arial" w:hAnsi="Arial"/>
                <w:b w:val="false"/>
                <w:bCs w:val="false"/>
                <w:color w:val="1A1A1A"/>
                <w:sz w:val="12"/>
                <w:szCs w:val="12"/>
              </w:rPr>
              <w:t xml:space="preserve"/>
            </w:r>
          </w:p>
        </w:tc>
      </w:tr>
      <w:tr>
        <w:tc>
          <w:tcPr>
            <w:tcW w:type="dxa" w:w="9720"/>
            <w:tcBorders>
              <w:top w:val="single" w:color="1B3A6B" w:sz="1"/>
              <w:left w:val="single" w:color="1B3A6B" w:sz="1"/>
              <w:bottom w:val="single" w:color="1B3A6B" w:sz="1"/>
              <w:right w:val="single" w:color="1B3A6B" w:sz="1"/>
            </w:tcBorders>
            <w:shd w:fill="F2F4F8" w:val="clear"/>
            <w:tcMar>
              <w:top w:type="dxa" w:w="160"/>
              <w:left w:type="dxa" w:w="200"/>
              <w:bottom w:type="dxa" w:w="160"/>
              <w:right w:type="dxa" w:w="200"/>
            </w:tcMar>
          </w:tcPr>
          <w:p>
            <w:pPr>
              <w:jc w:val="center"/>
            </w:pPr>
            <w:r>
              <w:rPr>
                <w:rFonts w:ascii="Arial" w:cs="Arial" w:eastAsia="Arial" w:hAnsi="Arial"/>
                <w:b/>
                <w:bCs/>
                <w:color w:val="1B3A6B"/>
                <w:sz w:val="20"/>
                <w:szCs w:val="20"/>
              </w:rPr>
              <w:t xml:space="preserve">Protocol Version 1.0  |  March 16, 2026</w:t>
            </w:r>
          </w:p>
        </w:tc>
      </w:tr>
      <w:tr>
        <w:tc>
          <w:tcPr>
            <w:tcW w:type="dxa" w:w="9720"/>
            <w:tcBorders>
              <w:top w:val="single" w:color="1B3A6B" w:sz="1"/>
              <w:left w:val="single" w:color="1B3A6B" w:sz="1"/>
              <w:bottom w:val="single" w:color="1B3A6B" w:sz="1"/>
              <w:right w:val="single" w:color="1B3A6B" w:sz="1"/>
            </w:tcBorders>
            <w:shd w:fill="F2F4F8" w:val="clear"/>
            <w:tcMar>
              <w:top w:type="dxa" w:w="160"/>
              <w:left w:type="dxa" w:w="200"/>
              <w:bottom w:type="dxa" w:w="160"/>
              <w:right w:type="dxa" w:w="200"/>
            </w:tcMar>
          </w:tcPr>
          <w:p>
            <w:pPr>
              <w:jc w:val="center"/>
            </w:pPr>
            <w:r>
              <w:rPr>
                <w:rFonts w:ascii="Arial" w:cs="Arial" w:eastAsia="Arial" w:hAnsi="Arial"/>
                <w:b w:val="false"/>
                <w:bCs w:val="false"/>
                <w:color w:val="555555"/>
                <w:sz w:val="18"/>
                <w:szCs w:val="18"/>
              </w:rPr>
              <w:t xml:space="preserve">IND 123456  |  OncoBioLogics, Inc.</w:t>
            </w:r>
          </w:p>
        </w:tc>
      </w:tr>
    </w:tbl>
    <w:p>
      <w:pPr>
        <w:spacing w:before="0" w:after="200"/>
      </w:pPr>
      <w:r>
        <w:t xml:space="preserve"/>
      </w:r>
    </w:p>
    <w:p>
      <w:pPr>
        <w:jc w:val="center"/>
      </w:pPr>
      <w:r>
        <w:rPr>
          <w:rFonts w:ascii="Arial" w:cs="Arial" w:eastAsia="Arial" w:hAnsi="Arial"/>
          <w:b/>
          <w:bCs/>
          <w:color w:val="C0392B"/>
          <w:sz w:val="18"/>
          <w:szCs w:val="18"/>
        </w:rPr>
        <w:t xml:space="preserve">CONFIDENTIAL — Investigational New Drug — Do Not Distribute</w:t>
      </w:r>
    </w:p>
    <w:p>
      <w:r>
        <w:br w:type="page"/>
      </w:r>
    </w:p>
    <w:p>
      <w:pPr>
        <w:pStyle w:val="Heading1"/>
        <w:pBdr>
          <w:bottom w:val="single" w:color="1B3A6B" w:sz="4" w:space="4"/>
        </w:pBdr>
        <w:spacing w:before="320" w:after="120"/>
      </w:pPr>
      <w:r>
        <w:rPr>
          <w:rFonts w:ascii="Arial" w:cs="Arial" w:eastAsia="Arial" w:hAnsi="Arial"/>
          <w:b/>
          <w:bCs/>
          <w:color w:val="1B3A6B"/>
          <w:sz w:val="28"/>
          <w:szCs w:val="28"/>
        </w:rPr>
        <w:t xml:space="preserve">1. SYNOPSIS OVERVIEW TABLE</w:t>
      </w:r>
    </w:p>
    <w:p>
      <w:pPr>
        <w:spacing w:before="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6840"/>
      </w:tblGrid>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Protocol Number</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CERVIMAB-CRC-002</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Protocol Version/Date</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Version 1.0 / March 16, 2026</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Study Title (Full)</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A Randomized, Open-Label, Multicenter Phase 2 Trial of CERVIMAB (anti-PD-1 Monoclonal Antibody) versus Investigator's Choice of FOLFIRI with or without Bevacizumab in Previously Treated Patients with dMMR/MSI-H Metastatic Colorectal Cancer</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Short Title</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CERVIMAB in dMMR/MSI-H mCRC (CERVI-CRC)</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Sponsor</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OncoBioLogics, Inc., 123 Innovation Drive, Cambridge, MA 02139</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IND Number</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123456 (U.S. FDA); EudraCT planned</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Phase</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Phase 2 (Randomized, Pivotal)</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Study Design</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Randomized, open-label, multicenter, controlled</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Regulatory Basis</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21 CFR Parts 312 and 601; ICH E6(R2) GCP; ICH E8(R1)</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Indication</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Patients with dMMR/MSI-H metastatic colorectal cancer who have received 1 prior line of therapy containing a fluoropyrimidine and oxaliplatin</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Study Drug</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CERVIMAB 400 mg IV Q3W (humanized anti-PD-1 IgG4 mAb)</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Comparator</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FOLFIRI (irinotecan, leucovorin, 5-FU) ± bevacizumab, administered per standard dosing Q2W</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Sample Size</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Approximately 200 patients (100 per arm)</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Estimated Enrollment Duration</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Approximately 18 months</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Estimated Primary Analysis</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Approximately 30 months after first patient randomized</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Number of Sites</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Approximately 60–80 sites (U.S., Canada, EU, Australia)</w:t>
            </w:r>
          </w:p>
        </w:tc>
      </w:tr>
      <w:tr>
        <w:tc>
          <w:tcPr>
            <w:tcW w:type="dxa" w:w="288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Sponsor Medical Monitor</w:t>
            </w:r>
          </w:p>
        </w:tc>
        <w:tc>
          <w:tcPr>
            <w:tcW w:type="dxa" w:w="68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David K. Osei, MD, CMO — dosei@oncobiologics.com</w:t>
            </w:r>
          </w:p>
        </w:tc>
      </w:tr>
    </w:tbl>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2. OBJECTIVES AND ENDPOINTS</w:t>
      </w:r>
    </w:p>
    <w:p>
      <w:pPr>
        <w:spacing w:before="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4320"/>
      </w:tblGrid>
      <w:tr>
        <w:tc>
          <w:tcPr>
            <w:tcW w:type="dxa" w:w="144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Type</w:t>
            </w:r>
          </w:p>
        </w:tc>
        <w:tc>
          <w:tcPr>
            <w:tcW w:type="dxa" w:w="396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Objective</w:t>
            </w:r>
          </w:p>
        </w:tc>
        <w:tc>
          <w:tcPr>
            <w:tcW w:type="dxa" w:w="432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Endpoint(s)</w:t>
            </w:r>
          </w:p>
        </w:tc>
      </w:tr>
      <w:tr>
        <w:tc>
          <w:tcPr>
            <w:tcW w:type="dxa" w:w="144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bCs/>
                <w:color w:val="1A1A1A"/>
                <w:sz w:val="17"/>
                <w:szCs w:val="17"/>
              </w:rPr>
              <w:t xml:space="preserve">Primary</w:t>
            </w:r>
          </w:p>
        </w:tc>
        <w:tc>
          <w:tcPr>
            <w:tcW w:type="dxa" w:w="39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To evaluate the efficacy of CERVIMAB vs. SOC in dMMR/MSI-H mCRC patients who have received 1 prior line of therapy</w:t>
            </w:r>
          </w:p>
        </w:tc>
        <w:tc>
          <w:tcPr>
            <w:tcW w:type="dxa" w:w="4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Progression-Free Survival (PFS) per RECIST v1.1 by Blinded Independent Central Review (BICR)</w:t>
            </w:r>
          </w:p>
        </w:tc>
      </w:tr>
      <w:tr>
        <w:tc>
          <w:tcPr>
            <w:tcW w:type="dxa" w:w="144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bCs/>
                <w:color w:val="1A1A1A"/>
                <w:sz w:val="17"/>
                <w:szCs w:val="17"/>
              </w:rPr>
              <w:t xml:space="preserve">Key Secondary</w:t>
            </w:r>
          </w:p>
        </w:tc>
        <w:tc>
          <w:tcPr>
            <w:tcW w:type="dxa" w:w="39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To evaluate overall survival (OS) benefit</w:t>
            </w:r>
          </w:p>
        </w:tc>
        <w:tc>
          <w:tcPr>
            <w:tcW w:type="dxa" w:w="4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OS: Time from randomization to death from any cause</w:t>
            </w:r>
          </w:p>
        </w:tc>
      </w:tr>
      <w:tr>
        <w:tc>
          <w:tcPr>
            <w:tcW w:type="dxa" w:w="144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bCs/>
                <w:color w:val="1A1A1A"/>
                <w:sz w:val="17"/>
                <w:szCs w:val="17"/>
              </w:rPr>
              <w:t xml:space="preserve">Key Secondary</w:t>
            </w:r>
          </w:p>
        </w:tc>
        <w:tc>
          <w:tcPr>
            <w:tcW w:type="dxa" w:w="39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To evaluate objective tumor response</w:t>
            </w:r>
          </w:p>
        </w:tc>
        <w:tc>
          <w:tcPr>
            <w:tcW w:type="dxa" w:w="4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Confirmed ORR (CR + PR per RECIST v1.1 by BICR); Duration of Response (DoR); Disease Control Rate (DCR)</w:t>
            </w:r>
          </w:p>
        </w:tc>
      </w:tr>
      <w:tr>
        <w:tc>
          <w:tcPr>
            <w:tcW w:type="dxa" w:w="144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bCs/>
                <w:color w:val="1A1A1A"/>
                <w:sz w:val="17"/>
                <w:szCs w:val="17"/>
              </w:rPr>
              <w:t xml:space="preserve">Secondary</w:t>
            </w:r>
          </w:p>
        </w:tc>
        <w:tc>
          <w:tcPr>
            <w:tcW w:type="dxa" w:w="39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To evaluate patient-reported outcomes</w:t>
            </w:r>
          </w:p>
        </w:tc>
        <w:tc>
          <w:tcPr>
            <w:tcW w:type="dxa" w:w="4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EORTC QLQ-C30 and EQ-5D-5L; Time to deterioration in key symptom/function scales</w:t>
            </w:r>
          </w:p>
        </w:tc>
      </w:tr>
      <w:tr>
        <w:tc>
          <w:tcPr>
            <w:tcW w:type="dxa" w:w="144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bCs/>
                <w:color w:val="1A1A1A"/>
                <w:sz w:val="17"/>
                <w:szCs w:val="17"/>
              </w:rPr>
              <w:t xml:space="preserve">Secondary</w:t>
            </w:r>
          </w:p>
        </w:tc>
        <w:tc>
          <w:tcPr>
            <w:tcW w:type="dxa" w:w="39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To characterize safety and tolerability</w:t>
            </w:r>
          </w:p>
        </w:tc>
        <w:tc>
          <w:tcPr>
            <w:tcW w:type="dxa" w:w="4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Incidence and severity of TEAEs, TRAEs, SAEs, irAEs; dose interruptions and discontinuations; CTCAE v5.0</w:t>
            </w:r>
          </w:p>
        </w:tc>
      </w:tr>
      <w:tr>
        <w:tc>
          <w:tcPr>
            <w:tcW w:type="dxa" w:w="144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bCs/>
                <w:color w:val="1A1A1A"/>
                <w:sz w:val="17"/>
                <w:szCs w:val="17"/>
              </w:rPr>
              <w:t xml:space="preserve">Exploratory</w:t>
            </w:r>
          </w:p>
        </w:tc>
        <w:tc>
          <w:tcPr>
            <w:tcW w:type="dxa" w:w="39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To identify predictive biomarkers of response</w:t>
            </w:r>
          </w:p>
        </w:tc>
        <w:tc>
          <w:tcPr>
            <w:tcW w:type="dxa" w:w="4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TMB (FoundationOne CDx), PD-L1 CPS (22C3 PharmDx), TIL density; cfDNA ctMSI; T-cell receptor (TCR) clonality by NGS</w:t>
            </w:r>
          </w:p>
        </w:tc>
      </w:tr>
      <w:tr>
        <w:tc>
          <w:tcPr>
            <w:tcW w:type="dxa" w:w="144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bCs/>
                <w:color w:val="1A1A1A"/>
                <w:sz w:val="17"/>
                <w:szCs w:val="17"/>
              </w:rPr>
              <w:t xml:space="preserve">Exploratory</w:t>
            </w:r>
          </w:p>
        </w:tc>
        <w:tc>
          <w:tcPr>
            <w:tcW w:type="dxa" w:w="39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To characterize PK in Phase 2 population</w:t>
            </w:r>
          </w:p>
        </w:tc>
        <w:tc>
          <w:tcPr>
            <w:tcW w:type="dxa" w:w="4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Sparse PK sampling; population PK modeling; PK/PD correlation with efficacy and safety</w:t>
            </w:r>
          </w:p>
        </w:tc>
      </w:tr>
    </w:tbl>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3. STUDY POPULATION</w:t>
      </w:r>
    </w:p>
    <w:p>
      <w:pPr>
        <w:pStyle w:val="Heading2"/>
        <w:spacing w:before="240" w:after="80"/>
      </w:pPr>
      <w:r>
        <w:rPr>
          <w:rFonts w:ascii="Arial" w:cs="Arial" w:eastAsia="Arial" w:hAnsi="Arial"/>
          <w:b/>
          <w:bCs/>
          <w:color w:val="4A6FA5"/>
          <w:sz w:val="22"/>
          <w:szCs w:val="22"/>
        </w:rPr>
        <w:t xml:space="preserve">3.1 Key Inclusion Criteria</w:t>
      </w:r>
    </w:p>
    <w:p>
      <w:pPr>
        <w:pStyle w:val="ListParagraph"/>
        <w:numPr>
          <w:ilvl w:val="0"/>
          <w:numId w:val="2"/>
        </w:numPr>
        <w:spacing w:before="40" w:after="40" w:line="276"/>
      </w:pPr>
      <w:r>
        <w:rPr>
          <w:rFonts w:ascii="Arial" w:cs="Arial" w:eastAsia="Arial" w:hAnsi="Arial"/>
          <w:color w:val="1A1A1A"/>
          <w:sz w:val="20"/>
          <w:szCs w:val="20"/>
        </w:rPr>
        <w:t xml:space="preserve">Age ≥ 18 years at the time of informed consent</w:t>
      </w:r>
    </w:p>
    <w:p>
      <w:pPr>
        <w:pStyle w:val="ListParagraph"/>
        <w:numPr>
          <w:ilvl w:val="0"/>
          <w:numId w:val="2"/>
        </w:numPr>
        <w:spacing w:before="40" w:after="40" w:line="276"/>
      </w:pPr>
      <w:r>
        <w:rPr>
          <w:rFonts w:ascii="Arial" w:cs="Arial" w:eastAsia="Arial" w:hAnsi="Arial"/>
          <w:color w:val="1A1A1A"/>
          <w:sz w:val="20"/>
          <w:szCs w:val="20"/>
        </w:rPr>
        <w:t xml:space="preserve">Histologically or cytologically confirmed metastatic or locally advanced unresectable colorectal adenocarcinoma</w:t>
      </w:r>
    </w:p>
    <w:p>
      <w:pPr>
        <w:pStyle w:val="ListParagraph"/>
        <w:numPr>
          <w:ilvl w:val="0"/>
          <w:numId w:val="2"/>
        </w:numPr>
        <w:spacing w:before="40" w:after="40" w:line="276"/>
      </w:pPr>
      <w:r>
        <w:rPr>
          <w:rFonts w:ascii="Arial" w:cs="Arial" w:eastAsia="Arial" w:hAnsi="Arial"/>
          <w:color w:val="1A1A1A"/>
          <w:sz w:val="20"/>
          <w:szCs w:val="20"/>
        </w:rPr>
        <w:t xml:space="preserve">dMMR/MSI-H status confirmed by central laboratory testing using an FDA-approved companion diagnostic (VENTANA MMR RxDx Panel or FoundationOne CDx) on tumor tissue from primary or metastatic site</w:t>
      </w:r>
    </w:p>
    <w:p>
      <w:pPr>
        <w:pStyle w:val="ListParagraph"/>
        <w:numPr>
          <w:ilvl w:val="0"/>
          <w:numId w:val="2"/>
        </w:numPr>
        <w:spacing w:before="40" w:after="40" w:line="276"/>
      </w:pPr>
      <w:r>
        <w:rPr>
          <w:rFonts w:ascii="Arial" w:cs="Arial" w:eastAsia="Arial" w:hAnsi="Arial"/>
          <w:color w:val="1A1A1A"/>
          <w:sz w:val="20"/>
          <w:szCs w:val="20"/>
        </w:rPr>
        <w:t xml:space="preserve">Received exactly 1 prior line of systemic therapy for metastatic disease; must have received a fluoropyrimidine and oxaliplatin-containing regimen (FOLFOX, CAPOX, or equivalent)</w:t>
      </w:r>
    </w:p>
    <w:p>
      <w:pPr>
        <w:pStyle w:val="ListParagraph"/>
        <w:numPr>
          <w:ilvl w:val="0"/>
          <w:numId w:val="2"/>
        </w:numPr>
        <w:spacing w:before="40" w:after="40" w:line="276"/>
      </w:pPr>
      <w:r>
        <w:rPr>
          <w:rFonts w:ascii="Arial" w:cs="Arial" w:eastAsia="Arial" w:hAnsi="Arial"/>
          <w:color w:val="1A1A1A"/>
          <w:sz w:val="20"/>
          <w:szCs w:val="20"/>
        </w:rPr>
        <w:t xml:space="preserve">Radiographically confirmed disease progression during or following the last prior therapy</w:t>
      </w:r>
    </w:p>
    <w:p>
      <w:pPr>
        <w:pStyle w:val="ListParagraph"/>
        <w:numPr>
          <w:ilvl w:val="0"/>
          <w:numId w:val="2"/>
        </w:numPr>
        <w:spacing w:before="40" w:after="40" w:line="276"/>
      </w:pPr>
      <w:r>
        <w:rPr>
          <w:rFonts w:ascii="Arial" w:cs="Arial" w:eastAsia="Arial" w:hAnsi="Arial"/>
          <w:color w:val="1A1A1A"/>
          <w:sz w:val="20"/>
          <w:szCs w:val="20"/>
        </w:rPr>
        <w:t xml:space="preserve">No prior treatment with anti-PD-1, anti-PD-L1, anti-PD-L2, anti-CTLA-4, or any other checkpoint inhibitor</w:t>
      </w:r>
    </w:p>
    <w:p>
      <w:pPr>
        <w:pStyle w:val="ListParagraph"/>
        <w:numPr>
          <w:ilvl w:val="0"/>
          <w:numId w:val="2"/>
        </w:numPr>
        <w:spacing w:before="40" w:after="40" w:line="276"/>
      </w:pPr>
      <w:r>
        <w:rPr>
          <w:rFonts w:ascii="Arial" w:cs="Arial" w:eastAsia="Arial" w:hAnsi="Arial"/>
          <w:color w:val="1A1A1A"/>
          <w:sz w:val="20"/>
          <w:szCs w:val="20"/>
        </w:rPr>
        <w:t xml:space="preserve">Measurable disease per RECIST v1.1 (≥1 target lesion; prior irradiated lesions not acceptable as target unless confirmed progression post-radiation)</w:t>
      </w:r>
    </w:p>
    <w:p>
      <w:pPr>
        <w:pStyle w:val="ListParagraph"/>
        <w:numPr>
          <w:ilvl w:val="0"/>
          <w:numId w:val="2"/>
        </w:numPr>
        <w:spacing w:before="40" w:after="40" w:line="276"/>
      </w:pPr>
      <w:r>
        <w:rPr>
          <w:rFonts w:ascii="Arial" w:cs="Arial" w:eastAsia="Arial" w:hAnsi="Arial"/>
          <w:color w:val="1A1A1A"/>
          <w:sz w:val="20"/>
          <w:szCs w:val="20"/>
        </w:rPr>
        <w:t xml:space="preserve">ECOG Performance Status 0 or 1</w:t>
      </w:r>
    </w:p>
    <w:p>
      <w:pPr>
        <w:pStyle w:val="ListParagraph"/>
        <w:numPr>
          <w:ilvl w:val="0"/>
          <w:numId w:val="2"/>
        </w:numPr>
        <w:spacing w:before="40" w:after="40" w:line="276"/>
      </w:pPr>
      <w:r>
        <w:rPr>
          <w:rFonts w:ascii="Arial" w:cs="Arial" w:eastAsia="Arial" w:hAnsi="Arial"/>
          <w:color w:val="1A1A1A"/>
          <w:sz w:val="20"/>
          <w:szCs w:val="20"/>
        </w:rPr>
        <w:t xml:space="preserve">Adequate bone marrow function: ANC ≥1,500/μL, platelets ≥100,000/μL, Hgb ≥9 g/dL</w:t>
      </w:r>
    </w:p>
    <w:p>
      <w:pPr>
        <w:pStyle w:val="ListParagraph"/>
        <w:numPr>
          <w:ilvl w:val="0"/>
          <w:numId w:val="2"/>
        </w:numPr>
        <w:spacing w:before="40" w:after="40" w:line="276"/>
      </w:pPr>
      <w:r>
        <w:rPr>
          <w:rFonts w:ascii="Arial" w:cs="Arial" w:eastAsia="Arial" w:hAnsi="Arial"/>
          <w:color w:val="1A1A1A"/>
          <w:sz w:val="20"/>
          <w:szCs w:val="20"/>
        </w:rPr>
        <w:t xml:space="preserve">Adequate hepatic function: AST/ALT ≤2.5x ULN (≤5x ULN if liver metastases), total bilirubin ≤1.5x ULN</w:t>
      </w:r>
    </w:p>
    <w:p>
      <w:pPr>
        <w:pStyle w:val="ListParagraph"/>
        <w:numPr>
          <w:ilvl w:val="0"/>
          <w:numId w:val="2"/>
        </w:numPr>
        <w:spacing w:before="40" w:after="40" w:line="276"/>
      </w:pPr>
      <w:r>
        <w:rPr>
          <w:rFonts w:ascii="Arial" w:cs="Arial" w:eastAsia="Arial" w:hAnsi="Arial"/>
          <w:color w:val="1A1A1A"/>
          <w:sz w:val="20"/>
          <w:szCs w:val="20"/>
        </w:rPr>
        <w:t xml:space="preserve">Adequate renal function: eGFR ≥30 mL/min/1.73m² (CKD-EPI)</w:t>
      </w:r>
    </w:p>
    <w:p>
      <w:pPr>
        <w:pStyle w:val="ListParagraph"/>
        <w:numPr>
          <w:ilvl w:val="0"/>
          <w:numId w:val="2"/>
        </w:numPr>
        <w:spacing w:before="40" w:after="40" w:line="276"/>
      </w:pPr>
      <w:r>
        <w:rPr>
          <w:rFonts w:ascii="Arial" w:cs="Arial" w:eastAsia="Arial" w:hAnsi="Arial"/>
          <w:color w:val="1A1A1A"/>
          <w:sz w:val="20"/>
          <w:szCs w:val="20"/>
        </w:rPr>
        <w:t xml:space="preserve">Adequate coagulation: INR ≤1.5 (≤3.0 if on therapeutic anticoagulation for non-study indications)</w:t>
      </w:r>
    </w:p>
    <w:p>
      <w:pPr>
        <w:pStyle w:val="ListParagraph"/>
        <w:numPr>
          <w:ilvl w:val="0"/>
          <w:numId w:val="2"/>
        </w:numPr>
        <w:spacing w:before="40" w:after="40" w:line="276"/>
      </w:pPr>
      <w:r>
        <w:rPr>
          <w:rFonts w:ascii="Arial" w:cs="Arial" w:eastAsia="Arial" w:hAnsi="Arial"/>
          <w:color w:val="1A1A1A"/>
          <w:sz w:val="20"/>
          <w:szCs w:val="20"/>
        </w:rPr>
        <w:t xml:space="preserve">Women of childbearing potential (WOCBP): Negative serum pregnancy test within 72 hours prior to first dose; must agree to highly effective contraception during treatment and for 6 months after last dose</w:t>
      </w:r>
    </w:p>
    <w:p>
      <w:pPr>
        <w:pStyle w:val="ListParagraph"/>
        <w:numPr>
          <w:ilvl w:val="0"/>
          <w:numId w:val="2"/>
        </w:numPr>
        <w:spacing w:before="40" w:after="40" w:line="276"/>
      </w:pPr>
      <w:r>
        <w:rPr>
          <w:rFonts w:ascii="Arial" w:cs="Arial" w:eastAsia="Arial" w:hAnsi="Arial"/>
          <w:color w:val="1A1A1A"/>
          <w:sz w:val="20"/>
          <w:szCs w:val="20"/>
        </w:rPr>
        <w:t xml:space="preserve">Males with female partners of childbearing potential: Must agree to use barrier contraception during treatment and for 90 days after last dose</w:t>
      </w:r>
    </w:p>
    <w:p>
      <w:pPr>
        <w:pStyle w:val="ListParagraph"/>
        <w:numPr>
          <w:ilvl w:val="0"/>
          <w:numId w:val="2"/>
        </w:numPr>
        <w:spacing w:before="40" w:after="40" w:line="276"/>
      </w:pPr>
      <w:r>
        <w:rPr>
          <w:rFonts w:ascii="Arial" w:cs="Arial" w:eastAsia="Arial" w:hAnsi="Arial"/>
          <w:color w:val="1A1A1A"/>
          <w:sz w:val="20"/>
          <w:szCs w:val="20"/>
        </w:rPr>
        <w:t xml:space="preserve">Ability to understand and willingness to sign written informed consent; must be able to comply with study visits and procedures</w:t>
      </w:r>
    </w:p>
    <w:p>
      <w:pPr>
        <w:spacing w:before="0" w:after="60"/>
      </w:pPr>
      <w:r>
        <w:t xml:space="preserve"/>
      </w:r>
    </w:p>
    <w:p>
      <w:pPr>
        <w:pStyle w:val="Heading2"/>
        <w:spacing w:before="240" w:after="80"/>
      </w:pPr>
      <w:r>
        <w:rPr>
          <w:rFonts w:ascii="Arial" w:cs="Arial" w:eastAsia="Arial" w:hAnsi="Arial"/>
          <w:b/>
          <w:bCs/>
          <w:color w:val="4A6FA5"/>
          <w:sz w:val="22"/>
          <w:szCs w:val="22"/>
        </w:rPr>
        <w:t xml:space="preserve">3.2 Key Exclusion Criteria</w:t>
      </w:r>
    </w:p>
    <w:p>
      <w:pPr>
        <w:pStyle w:val="ListParagraph"/>
        <w:numPr>
          <w:ilvl w:val="0"/>
          <w:numId w:val="2"/>
        </w:numPr>
        <w:spacing w:before="40" w:after="40" w:line="276"/>
      </w:pPr>
      <w:r>
        <w:rPr>
          <w:rFonts w:ascii="Arial" w:cs="Arial" w:eastAsia="Arial" w:hAnsi="Arial"/>
          <w:color w:val="1A1A1A"/>
          <w:sz w:val="20"/>
          <w:szCs w:val="20"/>
        </w:rPr>
        <w:t xml:space="preserve">Active known or suspected autoimmune disease (exceptions: type I diabetes mellitus, autoimmune hypothyroidism on stable hormone replacement, vitiligo, psoriasis not requiring systemic treatment, Sjögren's syndrome without major organ involvement)</w:t>
      </w:r>
    </w:p>
    <w:p>
      <w:pPr>
        <w:pStyle w:val="ListParagraph"/>
        <w:numPr>
          <w:ilvl w:val="0"/>
          <w:numId w:val="2"/>
        </w:numPr>
        <w:spacing w:before="40" w:after="40" w:line="276"/>
      </w:pPr>
      <w:r>
        <w:rPr>
          <w:rFonts w:ascii="Arial" w:cs="Arial" w:eastAsia="Arial" w:hAnsi="Arial"/>
          <w:color w:val="1A1A1A"/>
          <w:sz w:val="20"/>
          <w:szCs w:val="20"/>
        </w:rPr>
        <w:t xml:space="preserve">Active systemic therapy with corticosteroids (&gt;10 mg/day prednisone or equivalent) or any other immunosuppressive medication within 14 days prior to randomization</w:t>
      </w:r>
    </w:p>
    <w:p>
      <w:pPr>
        <w:pStyle w:val="ListParagraph"/>
        <w:numPr>
          <w:ilvl w:val="0"/>
          <w:numId w:val="2"/>
        </w:numPr>
        <w:spacing w:before="40" w:after="40" w:line="276"/>
      </w:pPr>
      <w:r>
        <w:rPr>
          <w:rFonts w:ascii="Arial" w:cs="Arial" w:eastAsia="Arial" w:hAnsi="Arial"/>
          <w:color w:val="1A1A1A"/>
          <w:sz w:val="20"/>
          <w:szCs w:val="20"/>
        </w:rPr>
        <w:t xml:space="preserve">Known active hepatitis B virus (HBV) or hepatitis C virus (HCV) infection (chronic inactive infection permitted if viral load undetectable)</w:t>
      </w:r>
    </w:p>
    <w:p>
      <w:pPr>
        <w:pStyle w:val="ListParagraph"/>
        <w:numPr>
          <w:ilvl w:val="0"/>
          <w:numId w:val="2"/>
        </w:numPr>
        <w:spacing w:before="40" w:after="40" w:line="276"/>
      </w:pPr>
      <w:r>
        <w:rPr>
          <w:rFonts w:ascii="Arial" w:cs="Arial" w:eastAsia="Arial" w:hAnsi="Arial"/>
          <w:color w:val="1A1A1A"/>
          <w:sz w:val="20"/>
          <w:szCs w:val="20"/>
        </w:rPr>
        <w:t xml:space="preserve">Known HIV infection with CD4 count &lt;350 cells/μL or on antiretroviral therapy that is not compatible with study drug PK</w:t>
      </w:r>
    </w:p>
    <w:p>
      <w:pPr>
        <w:pStyle w:val="ListParagraph"/>
        <w:numPr>
          <w:ilvl w:val="0"/>
          <w:numId w:val="2"/>
        </w:numPr>
        <w:spacing w:before="40" w:after="40" w:line="276"/>
      </w:pPr>
      <w:r>
        <w:rPr>
          <w:rFonts w:ascii="Arial" w:cs="Arial" w:eastAsia="Arial" w:hAnsi="Arial"/>
          <w:color w:val="1A1A1A"/>
          <w:sz w:val="20"/>
          <w:szCs w:val="20"/>
        </w:rPr>
        <w:t xml:space="preserve">History of interstitial lung disease (ILD), non-infectious pneumonitis, or other lung conditions requiring corticosteroids</w:t>
      </w:r>
    </w:p>
    <w:p>
      <w:pPr>
        <w:pStyle w:val="ListParagraph"/>
        <w:numPr>
          <w:ilvl w:val="0"/>
          <w:numId w:val="2"/>
        </w:numPr>
        <w:spacing w:before="40" w:after="40" w:line="276"/>
      </w:pPr>
      <w:r>
        <w:rPr>
          <w:rFonts w:ascii="Arial" w:cs="Arial" w:eastAsia="Arial" w:hAnsi="Arial"/>
          <w:color w:val="1A1A1A"/>
          <w:sz w:val="20"/>
          <w:szCs w:val="20"/>
        </w:rPr>
        <w:t xml:space="preserve">Active CNS metastases or leptomeningeal carcinomatosis (treated, stable CNS metastases permitted if asymptomatic, no edema on MRI, no corticosteroids for ≥28 days, no seizures for ≥60 days)</w:t>
      </w:r>
    </w:p>
    <w:p>
      <w:pPr>
        <w:pStyle w:val="ListParagraph"/>
        <w:numPr>
          <w:ilvl w:val="0"/>
          <w:numId w:val="2"/>
        </w:numPr>
        <w:spacing w:before="40" w:after="40" w:line="276"/>
      </w:pPr>
      <w:r>
        <w:rPr>
          <w:rFonts w:ascii="Arial" w:cs="Arial" w:eastAsia="Arial" w:hAnsi="Arial"/>
          <w:color w:val="1A1A1A"/>
          <w:sz w:val="20"/>
          <w:szCs w:val="20"/>
        </w:rPr>
        <w:t xml:space="preserve">Prior organ transplant or allogeneic hematopoietic stem cell transplant</w:t>
      </w:r>
    </w:p>
    <w:p>
      <w:pPr>
        <w:pStyle w:val="ListParagraph"/>
        <w:numPr>
          <w:ilvl w:val="0"/>
          <w:numId w:val="2"/>
        </w:numPr>
        <w:spacing w:before="40" w:after="40" w:line="276"/>
      </w:pPr>
      <w:r>
        <w:rPr>
          <w:rFonts w:ascii="Arial" w:cs="Arial" w:eastAsia="Arial" w:hAnsi="Arial"/>
          <w:color w:val="1A1A1A"/>
          <w:sz w:val="20"/>
          <w:szCs w:val="20"/>
        </w:rPr>
        <w:t xml:space="preserve">Live attenuated vaccine within 30 days prior to first dose or planned during study participation</w:t>
      </w:r>
    </w:p>
    <w:p>
      <w:pPr>
        <w:pStyle w:val="ListParagraph"/>
        <w:numPr>
          <w:ilvl w:val="0"/>
          <w:numId w:val="2"/>
        </w:numPr>
        <w:spacing w:before="40" w:after="40" w:line="276"/>
      </w:pPr>
      <w:r>
        <w:rPr>
          <w:rFonts w:ascii="Arial" w:cs="Arial" w:eastAsia="Arial" w:hAnsi="Arial"/>
          <w:color w:val="1A1A1A"/>
          <w:sz w:val="20"/>
          <w:szCs w:val="20"/>
        </w:rPr>
        <w:t xml:space="preserve">Unresolved toxicity from prior therapy &gt; Grade 1 per CTCAE v5.0 (except alopecia, peripheral neuropathy Grade ≤2)</w:t>
      </w:r>
    </w:p>
    <w:p>
      <w:pPr>
        <w:pStyle w:val="ListParagraph"/>
        <w:numPr>
          <w:ilvl w:val="0"/>
          <w:numId w:val="2"/>
        </w:numPr>
        <w:spacing w:before="40" w:after="40" w:line="276"/>
      </w:pPr>
      <w:r>
        <w:rPr>
          <w:rFonts w:ascii="Arial" w:cs="Arial" w:eastAsia="Arial" w:hAnsi="Arial"/>
          <w:color w:val="1A1A1A"/>
          <w:sz w:val="20"/>
          <w:szCs w:val="20"/>
        </w:rPr>
        <w:t xml:space="preserve">Known hypersensitivity to any component of CERVIMAB formulation or to monoclonal antibody therapy</w:t>
      </w:r>
    </w:p>
    <w:p>
      <w:pPr>
        <w:pStyle w:val="ListParagraph"/>
        <w:numPr>
          <w:ilvl w:val="0"/>
          <w:numId w:val="2"/>
        </w:numPr>
        <w:spacing w:before="40" w:after="40" w:line="276"/>
      </w:pPr>
      <w:r>
        <w:rPr>
          <w:rFonts w:ascii="Arial" w:cs="Arial" w:eastAsia="Arial" w:hAnsi="Arial"/>
          <w:color w:val="1A1A1A"/>
          <w:sz w:val="20"/>
          <w:szCs w:val="20"/>
        </w:rPr>
        <w:t xml:space="preserve">Pregnancy or breastfeeding</w:t>
      </w:r>
    </w:p>
    <w:p>
      <w:pPr>
        <w:pStyle w:val="ListParagraph"/>
        <w:numPr>
          <w:ilvl w:val="0"/>
          <w:numId w:val="2"/>
        </w:numPr>
        <w:spacing w:before="40" w:after="40" w:line="276"/>
      </w:pPr>
      <w:r>
        <w:rPr>
          <w:rFonts w:ascii="Arial" w:cs="Arial" w:eastAsia="Arial" w:hAnsi="Arial"/>
          <w:color w:val="1A1A1A"/>
          <w:sz w:val="20"/>
          <w:szCs w:val="20"/>
        </w:rPr>
        <w:t xml:space="preserve">Any psychiatric disorder, substance use disorder, or other condition that in the Investigator's judgment would impair the patient's ability to comply with study procedures or increase the safety risk</w:t>
      </w:r>
    </w:p>
    <w:p>
      <w:pPr>
        <w:pStyle w:val="ListParagraph"/>
        <w:numPr>
          <w:ilvl w:val="0"/>
          <w:numId w:val="2"/>
        </w:numPr>
        <w:spacing w:before="40" w:after="40" w:line="276"/>
      </w:pPr>
      <w:r>
        <w:rPr>
          <w:rFonts w:ascii="Arial" w:cs="Arial" w:eastAsia="Arial" w:hAnsi="Arial"/>
          <w:color w:val="1A1A1A"/>
          <w:sz w:val="20"/>
          <w:szCs w:val="20"/>
        </w:rPr>
        <w:t xml:space="preserve">Participation in another interventional clinical study within 4 weeks prior to randomization (observational studies or long-term follow-up studies without active treatment permitted)</w:t>
      </w:r>
    </w:p>
    <w:p>
      <w:pPr>
        <w:pStyle w:val="ListParagraph"/>
        <w:numPr>
          <w:ilvl w:val="0"/>
          <w:numId w:val="2"/>
        </w:numPr>
        <w:spacing w:before="40" w:after="40" w:line="276"/>
      </w:pPr>
      <w:r>
        <w:rPr>
          <w:rFonts w:ascii="Arial" w:cs="Arial" w:eastAsia="Arial" w:hAnsi="Arial"/>
          <w:color w:val="1A1A1A"/>
          <w:sz w:val="20"/>
          <w:szCs w:val="20"/>
        </w:rPr>
        <w:t xml:space="preserve">Prior malignancy within 3 years (exceptions: curatively treated basal or squamous cell carcinoma, in situ carcinoma of any site, or low-risk prostate cancer on active surveillance)</w:t>
      </w:r>
    </w:p>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4. STUDY TREATMENT</w:t>
      </w:r>
    </w:p>
    <w:p>
      <w:pPr>
        <w:pStyle w:val="Heading2"/>
        <w:spacing w:before="240" w:after="80"/>
      </w:pPr>
      <w:r>
        <w:rPr>
          <w:rFonts w:ascii="Arial" w:cs="Arial" w:eastAsia="Arial" w:hAnsi="Arial"/>
          <w:b/>
          <w:bCs/>
          <w:color w:val="4A6FA5"/>
          <w:sz w:val="22"/>
          <w:szCs w:val="22"/>
        </w:rPr>
        <w:t xml:space="preserve">4.1 Treatment Arms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4260"/>
        <w:gridCol w:w="4260"/>
      </w:tblGrid>
      <w:tr>
        <w:tc>
          <w:tcPr>
            <w:tcW w:type="dxa" w:w="120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pPr>
              <w:jc w:val="center"/>
            </w:pPr>
            <w:r>
              <w:rPr>
                <w:rFonts w:ascii="Arial" w:cs="Arial" w:eastAsia="Arial" w:hAnsi="Arial"/>
                <w:b/>
                <w:bCs/>
                <w:color w:val="FFFFFF"/>
                <w:sz w:val="17"/>
                <w:szCs w:val="17"/>
              </w:rPr>
              <w:t xml:space="default"/>
            </w:r>
          </w:p>
        </w:tc>
        <w:tc>
          <w:tcPr>
            <w:tcW w:type="dxa" w:w="426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Arm A: CERVIMAB (Experimental)</w:t>
            </w:r>
          </w:p>
        </w:tc>
        <w:tc>
          <w:tcPr>
            <w:tcW w:type="dxa" w:w="426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Arm B: SOC Chemotherapy (Comparator)</w:t>
            </w:r>
          </w:p>
        </w:tc>
      </w:tr>
      <w:tr>
        <w:tc>
          <w:tcPr>
            <w:tcW w:type="dxa" w:w="1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bCs/>
                <w:color w:val="1B3A6B"/>
                <w:sz w:val="17"/>
                <w:szCs w:val="17"/>
              </w:rPr>
              <w:t xml:space="preserve">Drug(s)</w:t>
            </w:r>
          </w:p>
        </w:tc>
        <w:tc>
          <w:tcPr>
            <w:tcW w:type="dxa" w:w="42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CERVIMAB 400 mg IV</w:t>
            </w:r>
          </w:p>
        </w:tc>
        <w:tc>
          <w:tcPr>
            <w:tcW w:type="dxa" w:w="42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FOLFIRI: Irinotecan 180 mg/m² IV + Leucovorin 400 mg/m² IV + 5-FU 400 mg/m² bolus + 5-FU 2,400 mg/m² CI (46 hrs)
± Bevacizumab 5 mg/kg IV</w:t>
            </w:r>
          </w:p>
        </w:tc>
      </w:tr>
      <w:tr>
        <w:tc>
          <w:tcPr>
            <w:tcW w:type="dxa" w:w="1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bCs/>
                <w:color w:val="1B3A6B"/>
                <w:sz w:val="17"/>
                <w:szCs w:val="17"/>
              </w:rPr>
              <w:t xml:space="preserve">Schedule</w:t>
            </w:r>
          </w:p>
        </w:tc>
        <w:tc>
          <w:tcPr>
            <w:tcW w:type="dxa" w:w="42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Q3W (21-day cycles)</w:t>
            </w:r>
          </w:p>
        </w:tc>
        <w:tc>
          <w:tcPr>
            <w:tcW w:type="dxa" w:w="42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Q2W (14-day cycles); Bevacizumab Q2W if used</w:t>
            </w:r>
          </w:p>
        </w:tc>
      </w:tr>
      <w:tr>
        <w:tc>
          <w:tcPr>
            <w:tcW w:type="dxa" w:w="1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bCs/>
                <w:color w:val="1B3A6B"/>
                <w:sz w:val="17"/>
                <w:szCs w:val="17"/>
              </w:rPr>
              <w:t xml:space="preserve">Infusion Duration</w:t>
            </w:r>
          </w:p>
        </w:tc>
        <w:tc>
          <w:tcPr>
            <w:tcW w:type="dxa" w:w="42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60 minutes (initial); 30 min if no IRR after Cycle 2</w:t>
            </w:r>
          </w:p>
        </w:tc>
        <w:tc>
          <w:tcPr>
            <w:tcW w:type="dxa" w:w="42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Irinotecan: 90 min; LV: 2 hrs; 5-FU CI: 46 hrs; Bev: 90 min initial then 60/30 min</w:t>
            </w:r>
          </w:p>
        </w:tc>
      </w:tr>
      <w:tr>
        <w:tc>
          <w:tcPr>
            <w:tcW w:type="dxa" w:w="1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bCs/>
                <w:color w:val="1B3A6B"/>
                <w:sz w:val="17"/>
                <w:szCs w:val="17"/>
              </w:rPr>
              <w:t xml:space="preserve">Premedication</w:t>
            </w:r>
          </w:p>
        </w:tc>
        <w:tc>
          <w:tcPr>
            <w:tcW w:type="dxa" w:w="42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None required; antiemetics per standard if needed</w:t>
            </w:r>
          </w:p>
        </w:tc>
        <w:tc>
          <w:tcPr>
            <w:tcW w:type="dxa" w:w="42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Standard premedication per institutional practice; antiemetics required for irinotecan</w:t>
            </w:r>
          </w:p>
        </w:tc>
      </w:tr>
      <w:tr>
        <w:tc>
          <w:tcPr>
            <w:tcW w:type="dxa" w:w="1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bCs/>
                <w:color w:val="1B3A6B"/>
                <w:sz w:val="17"/>
                <w:szCs w:val="17"/>
              </w:rPr>
              <w:t xml:space="preserve">Treatment Duration</w:t>
            </w:r>
          </w:p>
        </w:tc>
        <w:tc>
          <w:tcPr>
            <w:tcW w:type="dxa" w:w="42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Until PD, unacceptable toxicity, withdrawal of consent, or investigator decision. Maximum: 2 years (96 weeks)</w:t>
            </w:r>
          </w:p>
        </w:tc>
        <w:tc>
          <w:tcPr>
            <w:tcW w:type="dxa" w:w="42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Until PD, unacceptable toxicity, withdrawal of consent. Maximum: 24 cycles (48 weeks)</w:t>
            </w:r>
          </w:p>
        </w:tc>
      </w:tr>
      <w:tr>
        <w:tc>
          <w:tcPr>
            <w:tcW w:type="dxa" w:w="1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bCs/>
                <w:color w:val="1B3A6B"/>
                <w:sz w:val="17"/>
                <w:szCs w:val="17"/>
              </w:rPr>
              <w:t xml:space="preserve">Dose Modifications</w:t>
            </w:r>
          </w:p>
        </w:tc>
        <w:tc>
          <w:tcPr>
            <w:tcW w:type="dxa" w:w="42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Dose delays per irAE management guidelines; no dose reductions for CERVIMAB; discontinuation for Grade ≥3 irAE not resolving to ≤Grade 1 with corticosteroids</w:t>
            </w:r>
          </w:p>
        </w:tc>
        <w:tc>
          <w:tcPr>
            <w:tcW w:type="dxa" w:w="42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Per institutional practice and label; bevacizumab holds per standard criteria (hypertension, wound healing, proteinuria)</w:t>
            </w:r>
          </w:p>
        </w:tc>
      </w:tr>
    </w:tbl>
    <w:p>
      <w:pPr>
        <w:spacing w:before="0" w:after="80"/>
      </w:pPr>
      <w:r>
        <w:t xml:space="preserve"/>
      </w:r>
    </w:p>
    <w:p>
      <w:pPr>
        <w:pStyle w:val="Heading2"/>
        <w:spacing w:before="240" w:after="80"/>
      </w:pPr>
      <w:r>
        <w:rPr>
          <w:rFonts w:ascii="Arial" w:cs="Arial" w:eastAsia="Arial" w:hAnsi="Arial"/>
          <w:b/>
          <w:bCs/>
          <w:color w:val="4A6FA5"/>
          <w:sz w:val="22"/>
          <w:szCs w:val="22"/>
        </w:rPr>
        <w:t xml:space="preserve">4.2 Crossover</w:t>
      </w:r>
    </w:p>
    <w:p>
      <w:pPr>
        <w:spacing w:before="80" w:after="80" w:line="280"/>
        <w:jc w:val="left"/>
      </w:pPr>
      <w:r>
        <w:rPr>
          <w:rFonts w:ascii="Arial" w:cs="Arial" w:eastAsia="Arial" w:hAnsi="Arial"/>
          <w:color w:val="1A1A1A"/>
          <w:sz w:val="20"/>
          <w:szCs w:val="20"/>
        </w:rPr>
        <w:t xml:space="preserve">Crossover from Arm B to Arm A is not permitted following primary progression. Patients in Arm B who discontinue study treatment for reasons other than PD (e.g., unacceptable toxicity) may receive subsequent therapy at the discretion of the treating physician, but this will be captured as a secondary resistance endpoint. Patients in Arm A who achieve a CR and complete 2 years of therapy may be re-treated upon confirmed radiographic progression per protocol-specified criteria.</w:t>
      </w:r>
    </w:p>
    <w:p>
      <w:pPr>
        <w:pStyle w:val="Heading2"/>
        <w:spacing w:before="240" w:after="80"/>
      </w:pPr>
      <w:r>
        <w:rPr>
          <w:rFonts w:ascii="Arial" w:cs="Arial" w:eastAsia="Arial" w:hAnsi="Arial"/>
          <w:b/>
          <w:bCs/>
          <w:color w:val="4A6FA5"/>
          <w:sz w:val="22"/>
          <w:szCs w:val="22"/>
        </w:rPr>
        <w:t xml:space="preserve">4.3 Permitted Concomitant Medications</w:t>
      </w:r>
    </w:p>
    <w:p>
      <w:pPr>
        <w:spacing w:before="80" w:after="80" w:line="280"/>
        <w:jc w:val="left"/>
      </w:pPr>
      <w:r>
        <w:rPr>
          <w:rFonts w:ascii="Arial" w:cs="Arial" w:eastAsia="Arial" w:hAnsi="Arial"/>
          <w:color w:val="1A1A1A"/>
          <w:sz w:val="20"/>
          <w:szCs w:val="20"/>
        </w:rPr>
        <w:t xml:space="preserve">Supportive care medications are permitted per institutional practice, including antiemetics, G-CSF (for febrile neutropenia prophylaxis in Arm B per ASCO guidelines), bisphosphonates/denosumab for bone metastases, and analgesics. Systemic corticosteroids are permitted for irAE management per the irAE management algorithm in the full protocol. Corticosteroids for other indications at doses &gt;10 mg/day prednisone equivalent require medical monitor approval.</w:t>
      </w:r>
    </w:p>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5. STUDY ASSESSMENTS</w:t>
      </w:r>
    </w:p>
    <w:p>
      <w:pPr>
        <w:pStyle w:val="Heading2"/>
        <w:spacing w:before="240" w:after="80"/>
      </w:pPr>
      <w:r>
        <w:rPr>
          <w:rFonts w:ascii="Arial" w:cs="Arial" w:eastAsia="Arial" w:hAnsi="Arial"/>
          <w:b/>
          <w:bCs/>
          <w:color w:val="4A6FA5"/>
          <w:sz w:val="22"/>
          <w:szCs w:val="22"/>
        </w:rPr>
        <w:t xml:space="preserve">5.1 Screening and Baseline</w:t>
      </w:r>
    </w:p>
    <w:p>
      <w:pPr>
        <w:spacing w:before="80" w:after="80" w:line="280"/>
        <w:jc w:val="left"/>
      </w:pPr>
      <w:r>
        <w:rPr>
          <w:rFonts w:ascii="Arial" w:cs="Arial" w:eastAsia="Arial" w:hAnsi="Arial"/>
          <w:color w:val="1A1A1A"/>
          <w:sz w:val="20"/>
          <w:szCs w:val="20"/>
        </w:rPr>
        <w:t xml:space="preserve">Screening period: up to 28 days prior to randomization. Required assessments include: informed consent; medical history and physical examination; ECOG PS; vital signs; 12-lead ECG; CT/MRI chest-abdomen-pelvis (baseline tumor imaging); brain MRI (if clinically indicated); central dMMR/MSI-H testing (mandatory from archival or fresh biopsy tissue); laboratory panels (CBC with diff, CMP, LFTs, TFTs, lipase, amylase, HbA1c, urinalysis, urine pregnancy test); serology (HIV, HBV, HCV); EORTC QLQ-C30 and EQ-5D-5L baseline PROs; archival FFPE tumor block or 15 unstained slides (for biomarker analysis); and fresh tumor biopsy (strongly encouraged; mandatory at sites with accessible lesions).</w:t>
      </w:r>
    </w:p>
    <w:p>
      <w:pPr>
        <w:pStyle w:val="Heading2"/>
        <w:spacing w:before="240" w:after="80"/>
      </w:pPr>
      <w:r>
        <w:rPr>
          <w:rFonts w:ascii="Arial" w:cs="Arial" w:eastAsia="Arial" w:hAnsi="Arial"/>
          <w:b/>
          <w:bCs/>
          <w:color w:val="4A6FA5"/>
          <w:sz w:val="22"/>
          <w:szCs w:val="22"/>
        </w:rPr>
        <w:t xml:space="preserve">5.2 On-Treatment Assessments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20"/>
      </w:tblGrid>
      <w:tr>
        <w:tc>
          <w:tcPr>
            <w:tcW w:type="dxa" w:w="320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Assessment</w:t>
            </w:r>
          </w:p>
        </w:tc>
        <w:tc>
          <w:tcPr>
            <w:tcW w:type="dxa" w:w="320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Frequency (Arm A)</w:t>
            </w:r>
          </w:p>
        </w:tc>
        <w:tc>
          <w:tcPr>
            <w:tcW w:type="dxa" w:w="332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7"/>
                <w:szCs w:val="17"/>
              </w:rPr>
              <w:t xml:space="preserve">Frequency (Arm B)</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Physical exam / ECOG / Vitals</w:t>
            </w:r>
          </w:p>
        </w:tc>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Each cycle D1</w:t>
            </w:r>
          </w:p>
        </w:tc>
        <w:tc>
          <w:tcPr>
            <w:tcW w:type="dxa" w:w="3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Each cycle D1</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CBC with differential</w:t>
            </w:r>
          </w:p>
        </w:tc>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Each cycle D1</w:t>
            </w:r>
          </w:p>
        </w:tc>
        <w:tc>
          <w:tcPr>
            <w:tcW w:type="dxa" w:w="3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Each cycle D1, D8 (irinotecan monitoring)</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Chemistry panel (CMP)</w:t>
            </w:r>
          </w:p>
        </w:tc>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Each cycle D1</w:t>
            </w:r>
          </w:p>
        </w:tc>
        <w:tc>
          <w:tcPr>
            <w:tcW w:type="dxa" w:w="3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Each cycle D1</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LFTs (AST, ALT, ALP, bili)</w:t>
            </w:r>
          </w:p>
        </w:tc>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Each cycle D1</w:t>
            </w:r>
          </w:p>
        </w:tc>
        <w:tc>
          <w:tcPr>
            <w:tcW w:type="dxa" w:w="3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Each cycle D1</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TFTs (TSH, free T4)</w:t>
            </w:r>
          </w:p>
        </w:tc>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Every 2 cycles (Q6W)</w:t>
            </w:r>
          </w:p>
        </w:tc>
        <w:tc>
          <w:tcPr>
            <w:tcW w:type="dxa" w:w="3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Every 2 cycles</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Lipase / amylase</w:t>
            </w:r>
          </w:p>
        </w:tc>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Every 2 cycles (Q6W)</w:t>
            </w:r>
          </w:p>
        </w:tc>
        <w:tc>
          <w:tcPr>
            <w:tcW w:type="dxa" w:w="3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Every 4 cycles</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Tumor imaging (CT/MRI)</w:t>
            </w:r>
          </w:p>
        </w:tc>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Every 3 cycles (Q9W) ±7 days</w:t>
            </w:r>
          </w:p>
        </w:tc>
        <w:tc>
          <w:tcPr>
            <w:tcW w:type="dxa" w:w="3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Every 3 cycles (~Q6W) ±7 days</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PRO questionnaires</w:t>
            </w:r>
          </w:p>
        </w:tc>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Baseline, Q9W, EoT, 30-day FU</w:t>
            </w:r>
          </w:p>
        </w:tc>
        <w:tc>
          <w:tcPr>
            <w:tcW w:type="dxa" w:w="3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Baseline, Q6W, EoT, 30-day FU</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PK sampling (sparse)</w:t>
            </w:r>
          </w:p>
        </w:tc>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Cycle 1 D1, 2, 8, 15; Cycle 2 D1 (pre-dose)</w:t>
            </w:r>
          </w:p>
        </w:tc>
        <w:tc>
          <w:tcPr>
            <w:tcW w:type="dxa" w:w="3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N/A</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Immunophenotyping (PD)</w:t>
            </w:r>
          </w:p>
        </w:tc>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Cycle 1 D1, D15; Cycle 2 D1; Cycle 4 D1</w:t>
            </w:r>
          </w:p>
        </w:tc>
        <w:tc>
          <w:tcPr>
            <w:tcW w:type="dxa" w:w="3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N/A</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cfDNA/ctDNA/ctMSI</w:t>
            </w:r>
          </w:p>
        </w:tc>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Baseline; Cycle 2 D1; EOT; PD</w:t>
            </w:r>
          </w:p>
        </w:tc>
        <w:tc>
          <w:tcPr>
            <w:tcW w:type="dxa" w:w="3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Baseline; EOT; PD</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On-treatment biopsy</w:t>
            </w:r>
          </w:p>
        </w:tc>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Cycle 2 D8–14 (mandatory accessible lesion)</w:t>
            </w:r>
          </w:p>
        </w:tc>
        <w:tc>
          <w:tcPr>
            <w:tcW w:type="dxa" w:w="3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Cycle 2 D8–14 (encouraged)</w:t>
            </w:r>
          </w:p>
        </w:tc>
      </w:tr>
      <w:tr>
        <w:tc>
          <w:tcPr>
            <w:tcW w:type="dxa" w:w="32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B3A6B"/>
                <w:sz w:val="17"/>
                <w:szCs w:val="17"/>
              </w:rPr>
              <w:t xml:space="preserve">AE/Concomitant medication</w:t>
            </w:r>
          </w:p>
        </w:tc>
        <w:tc>
          <w:tcPr>
            <w:tcW w:type="dxa" w:w="32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Continuous throughout</w:t>
            </w:r>
          </w:p>
        </w:tc>
        <w:tc>
          <w:tcPr>
            <w:tcW w:type="dxa" w:w="3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7"/>
                <w:szCs w:val="17"/>
              </w:rPr>
              <w:t xml:space="preserve">Continuous throughout</w:t>
            </w:r>
          </w:p>
        </w:tc>
      </w:tr>
    </w:tbl>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6. STATISTICAL ANALYSIS PLAN OVERVIEW</w:t>
      </w:r>
    </w:p>
    <w:p>
      <w:pPr>
        <w:pStyle w:val="Heading2"/>
        <w:spacing w:before="240" w:after="80"/>
      </w:pPr>
      <w:r>
        <w:rPr>
          <w:rFonts w:ascii="Arial" w:cs="Arial" w:eastAsia="Arial" w:hAnsi="Arial"/>
          <w:b/>
          <w:bCs/>
          <w:color w:val="4A6FA5"/>
          <w:sz w:val="22"/>
          <w:szCs w:val="22"/>
        </w:rPr>
        <w:t xml:space="preserve">6.1 Primary Analysis</w:t>
      </w:r>
    </w:p>
    <w:p>
      <w:pPr>
        <w:spacing w:before="80" w:after="80" w:line="280"/>
        <w:jc w:val="left"/>
      </w:pPr>
      <w:r>
        <w:rPr>
          <w:rFonts w:ascii="Arial" w:cs="Arial" w:eastAsia="Arial" w:hAnsi="Arial"/>
          <w:color w:val="1A1A1A"/>
          <w:sz w:val="20"/>
          <w:szCs w:val="20"/>
        </w:rPr>
        <w:t xml:space="preserve">The primary efficacy analysis will compare PFS between Arm A (CERVIMAB) and Arm B (SOC) in the intent-to-treat (ITT) population using a stratified log-rank test (stratification factors: prior bevacizumab use [yes/no] and geographic region [North America/Western Europe/Other]). Hazard ratios and 95% confidence intervals will be estimated using a stratified Cox proportional hazards model with the same stratification factors. The Kaplan-Meier method will be used for PFS curve estimation and median PFS with 95% CIs.</w:t>
      </w:r>
    </w:p>
    <w:p>
      <w:pPr>
        <w:spacing w:before="0" w:after="60"/>
      </w:pPr>
      <w:r>
        <w:t xml:space="preserve"/>
      </w:r>
    </w:p>
    <w:p>
      <w:pPr>
        <w:spacing w:before="80" w:after="80" w:line="280"/>
        <w:jc w:val="left"/>
      </w:pPr>
      <w:r>
        <w:rPr>
          <w:rFonts w:ascii="Arial" w:cs="Arial" w:eastAsia="Arial" w:hAnsi="Arial"/>
          <w:color w:val="1A1A1A"/>
          <w:sz w:val="20"/>
          <w:szCs w:val="20"/>
        </w:rPr>
        <w:t xml:space="preserve">Power and sample size: A sample size of approximately 200 patients (100 per arm) provides approximately 90% power to detect an HR of 0.55 (corresponding to a median PFS improvement from 4.5 months [Arm B; based on historical data for FOLFIRI in second-line dMMR/MSI-H mCRC] to approximately 8.2 months [Arm A]) at a two-sided alpha level of 0.05, assuming 145 events have occurred by the time of the primary analysis.</w:t>
      </w:r>
    </w:p>
    <w:p>
      <w:pPr>
        <w:pStyle w:val="Heading2"/>
        <w:spacing w:before="240" w:after="80"/>
      </w:pPr>
      <w:r>
        <w:rPr>
          <w:rFonts w:ascii="Arial" w:cs="Arial" w:eastAsia="Arial" w:hAnsi="Arial"/>
          <w:b/>
          <w:bCs/>
          <w:color w:val="4A6FA5"/>
          <w:sz w:val="22"/>
          <w:szCs w:val="22"/>
        </w:rPr>
        <w:t xml:space="preserve">6.2 Secondary and Sensitivity Analyses</w:t>
      </w:r>
    </w:p>
    <w:p>
      <w:pPr>
        <w:spacing w:before="80" w:after="80" w:line="280"/>
        <w:jc w:val="left"/>
      </w:pPr>
      <w:r>
        <w:rPr>
          <w:rFonts w:ascii="Arial" w:cs="Arial" w:eastAsia="Arial" w:hAnsi="Arial"/>
          <w:color w:val="1A1A1A"/>
          <w:sz w:val="20"/>
          <w:szCs w:val="20"/>
        </w:rPr>
        <w:t xml:space="preserve">OS will be analyzed using the same stratified log-rank test approach. ORR and DCR will be analyzed using logistic regression with confidence intervals from the normal approximation. DoR will be analyzed by Kaplan-Meier in the subset of patients achieving confirmed response. Pre-specified sensitivity analyses include: (a) PFS by investigator assessment, (b) PFS with censoring for subsequent anticancer therapies, (c) OS in patients without crossover. Subgroup analyses are pre-specified for key biomarker subgroups (TMB-H vs. TMB-L; PD-L1 CPS ≥1 vs. &lt;1; KRAS/NRAS/BRAF status) and clinical subgroups (age ≥65, prior bevacizumab, ECOG 0 vs. 1, tumor sidedness).</w:t>
      </w:r>
    </w:p>
    <w:p>
      <w:pPr>
        <w:pStyle w:val="Heading2"/>
        <w:spacing w:before="240" w:after="80"/>
      </w:pPr>
      <w:r>
        <w:rPr>
          <w:rFonts w:ascii="Arial" w:cs="Arial" w:eastAsia="Arial" w:hAnsi="Arial"/>
          <w:b/>
          <w:bCs/>
          <w:color w:val="4A6FA5"/>
          <w:sz w:val="22"/>
          <w:szCs w:val="22"/>
        </w:rPr>
        <w:t xml:space="preserve">6.3 Interim Analysis</w:t>
      </w:r>
    </w:p>
    <w:p>
      <w:pPr>
        <w:spacing w:before="80" w:after="80" w:line="280"/>
        <w:jc w:val="left"/>
      </w:pPr>
      <w:r>
        <w:rPr>
          <w:rFonts w:ascii="Arial" w:cs="Arial" w:eastAsia="Arial" w:hAnsi="Arial"/>
          <w:color w:val="1A1A1A"/>
          <w:sz w:val="20"/>
          <w:szCs w:val="20"/>
        </w:rPr>
        <w:t xml:space="preserve">A single interim analysis for futility will be conducted when approximately 50% of the required PFS events (n ≈ 73 events) have accrued. The futility boundary is set at a conditional power threshold of &lt;20% of rejecting the null hypothesis at the final analysis. No stopping for superiority is planned at interim. An independent Data Safety Monitoring Board (DSMB) will review safety data approximately every 6 months throughout the study.</w:t>
      </w:r>
    </w:p>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7. SAFETY MONITORING AND REPORTING</w:t>
      </w:r>
    </w:p>
    <w:p>
      <w:pPr>
        <w:pStyle w:val="Heading2"/>
        <w:spacing w:before="240" w:after="80"/>
      </w:pPr>
      <w:r>
        <w:rPr>
          <w:rFonts w:ascii="Arial" w:cs="Arial" w:eastAsia="Arial" w:hAnsi="Arial"/>
          <w:b/>
          <w:bCs/>
          <w:color w:val="4A6FA5"/>
          <w:sz w:val="22"/>
          <w:szCs w:val="22"/>
        </w:rPr>
        <w:t xml:space="preserve">7.1 Adverse Event Management</w:t>
      </w:r>
    </w:p>
    <w:p>
      <w:pPr>
        <w:spacing w:before="80" w:after="80" w:line="280"/>
        <w:jc w:val="left"/>
      </w:pPr>
      <w:r>
        <w:rPr>
          <w:rFonts w:ascii="Arial" w:cs="Arial" w:eastAsia="Arial" w:hAnsi="Arial"/>
          <w:color w:val="1A1A1A"/>
          <w:sz w:val="20"/>
          <w:szCs w:val="20"/>
        </w:rPr>
        <w:t xml:space="preserve">All TEAEs will be graded using NCI CTCAE v5.0. Immune-related adverse events (irAEs) will be managed according to a standardized irAE management algorithm (provided as a separate appendix to the full protocol), which is based on ASCO and NCCN guidelines for immune checkpoint inhibitor toxicity management. Algorithms are provided for: immune-mediated colitis, hepatitis, pneumonitis, endocrinopathies (thyroid, adrenal, pituitary), nephritis, dermatologic reactions, and neurologic irAEs.</w:t>
      </w:r>
    </w:p>
    <w:p>
      <w:pPr>
        <w:pStyle w:val="Heading2"/>
        <w:spacing w:before="240" w:after="80"/>
      </w:pPr>
      <w:r>
        <w:rPr>
          <w:rFonts w:ascii="Arial" w:cs="Arial" w:eastAsia="Arial" w:hAnsi="Arial"/>
          <w:b/>
          <w:bCs/>
          <w:color w:val="4A6FA5"/>
          <w:sz w:val="22"/>
          <w:szCs w:val="22"/>
        </w:rPr>
        <w:t xml:space="preserve">7.2 Reporting Requirements</w:t>
      </w:r>
    </w:p>
    <w:p>
      <w:pPr>
        <w:spacing w:before="80" w:after="80" w:line="280"/>
        <w:jc w:val="left"/>
      </w:pPr>
      <w:r>
        <w:rPr>
          <w:rFonts w:ascii="Arial" w:cs="Arial" w:eastAsia="Arial" w:hAnsi="Arial"/>
          <w:color w:val="1A1A1A"/>
          <w:sz w:val="20"/>
          <w:szCs w:val="20"/>
        </w:rPr>
        <w:t xml:space="preserve">SUSARs (Suspected Unexpected Serious Adverse Reactions) will be reported to FDA within 7 days (life-threatening) or 15 days (non-life-threatening) per 21 CFR 312.32. All SAEs will be reported to the Sponsor within 24 hours of the site becoming aware. Annual IND safety reports will be submitted per 21 CFR 312.33. All sites will report to their local IRB/IEC per applicable regulations.</w:t>
      </w:r>
    </w:p>
    <w:p>
      <w:pPr>
        <w:pStyle w:val="Heading2"/>
        <w:spacing w:before="240" w:after="80"/>
      </w:pPr>
      <w:r>
        <w:rPr>
          <w:rFonts w:ascii="Arial" w:cs="Arial" w:eastAsia="Arial" w:hAnsi="Arial"/>
          <w:b/>
          <w:bCs/>
          <w:color w:val="4A6FA5"/>
          <w:sz w:val="22"/>
          <w:szCs w:val="22"/>
        </w:rPr>
        <w:t xml:space="preserve">7.3 Data Safety Monitoring Board (DSMB)</w:t>
      </w:r>
    </w:p>
    <w:p>
      <w:pPr>
        <w:spacing w:before="80" w:after="80" w:line="280"/>
        <w:jc w:val="left"/>
      </w:pPr>
      <w:r>
        <w:rPr>
          <w:rFonts w:ascii="Arial" w:cs="Arial" w:eastAsia="Arial" w:hAnsi="Arial"/>
          <w:color w:val="1A1A1A"/>
          <w:sz w:val="20"/>
          <w:szCs w:val="20"/>
        </w:rPr>
        <w:t xml:space="preserve">An independent DSMB comprising at least 5 members (2 oncologists with GI/immunotherapy expertise, 1 biostatistician, 1 patient advocate, 1 safety scientist) will be convened. The DSMB charter (separate document) defines meeting frequency (semi-annual or triggered by safety signals), stopping rules, and voting procedures. DSMB recommendations will be shared with FDA.</w:t>
      </w:r>
    </w:p>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8. BIOMARKER AND COMPANION DIAGNOSTIC STRATEGY</w:t>
      </w:r>
    </w:p>
    <w:p>
      <w:pPr>
        <w:pStyle w:val="Heading2"/>
        <w:spacing w:before="240" w:after="80"/>
      </w:pPr>
      <w:r>
        <w:rPr>
          <w:rFonts w:ascii="Arial" w:cs="Arial" w:eastAsia="Arial" w:hAnsi="Arial"/>
          <w:b/>
          <w:bCs/>
          <w:color w:val="4A6FA5"/>
          <w:sz w:val="22"/>
          <w:szCs w:val="22"/>
        </w:rPr>
        <w:t xml:space="preserve">8.1 Required Biomarker (Enrollment Criterion)</w:t>
      </w:r>
    </w:p>
    <w:p>
      <w:pPr>
        <w:spacing w:before="80" w:after="80" w:line="280"/>
        <w:jc w:val="left"/>
      </w:pPr>
      <w:r>
        <w:rPr>
          <w:rFonts w:ascii="Arial" w:cs="Arial" w:eastAsia="Arial" w:hAnsi="Arial"/>
          <w:color w:val="1A1A1A"/>
          <w:sz w:val="20"/>
          <w:szCs w:val="20"/>
        </w:rPr>
        <w:t xml:space="preserve">Central confirmation of dMMR/MSI-H status is a mandatory enrollment criterion. The following FDA-approved diagnostic tests will be used at central laboratories designated by the Sponsor:</w:t>
      </w:r>
    </w:p>
    <w:p>
      <w:pPr>
        <w:pStyle w:val="ListParagraph"/>
        <w:numPr>
          <w:ilvl w:val="0"/>
          <w:numId w:val="2"/>
        </w:numPr>
        <w:spacing w:before="40" w:after="40" w:line="276"/>
      </w:pPr>
      <w:r>
        <w:rPr>
          <w:rFonts w:ascii="Arial" w:cs="Arial" w:eastAsia="Arial" w:hAnsi="Arial"/>
          <w:color w:val="1A1A1A"/>
          <w:sz w:val="20"/>
          <w:szCs w:val="20"/>
        </w:rPr>
        <w:t xml:space="preserve">VENTANA MMR RxDx Panel (Roche Diagnostics) — IHC for MLH1, MSH2, MSH6, PMS2 on FFPE tissue</w:t>
      </w:r>
    </w:p>
    <w:p>
      <w:pPr>
        <w:pStyle w:val="ListParagraph"/>
        <w:numPr>
          <w:ilvl w:val="0"/>
          <w:numId w:val="2"/>
        </w:numPr>
        <w:spacing w:before="40" w:after="40" w:line="276"/>
      </w:pPr>
      <w:r>
        <w:rPr>
          <w:rFonts w:ascii="Arial" w:cs="Arial" w:eastAsia="Arial" w:hAnsi="Arial"/>
          <w:color w:val="1A1A1A"/>
          <w:sz w:val="20"/>
          <w:szCs w:val="20"/>
        </w:rPr>
        <w:t xml:space="preserve">FoundationOne CDx (Foundation Medicine) — NGS-based MSI and biomarker analysis</w:t>
      </w:r>
    </w:p>
    <w:p>
      <w:pPr>
        <w:spacing w:before="80" w:after="80" w:line="280"/>
        <w:jc w:val="left"/>
      </w:pPr>
      <w:r>
        <w:rPr>
          <w:rFonts w:ascii="Arial" w:cs="Arial" w:eastAsia="Arial" w:hAnsi="Arial"/>
          <w:color w:val="1A1A1A"/>
          <w:sz w:val="20"/>
          <w:szCs w:val="20"/>
        </w:rPr>
        <w:t xml:space="preserve">Local dMMR/MSI-H testing may be used for pre-screening purposes; however, all patients must have central confirmation prior to randomization. Patients with discordant local vs. central results (dMMR by local, MMR-proficient by central) will be excluded and their cases reviewed by a biomarker review committee.</w:t>
      </w:r>
    </w:p>
    <w:p>
      <w:pPr>
        <w:pStyle w:val="Heading2"/>
        <w:spacing w:before="240" w:after="80"/>
      </w:pPr>
      <w:r>
        <w:rPr>
          <w:rFonts w:ascii="Arial" w:cs="Arial" w:eastAsia="Arial" w:hAnsi="Arial"/>
          <w:b/>
          <w:bCs/>
          <w:color w:val="4A6FA5"/>
          <w:sz w:val="22"/>
          <w:szCs w:val="22"/>
        </w:rPr>
        <w:t xml:space="preserve">8.2 Exploratory Biomarkers</w:t>
      </w:r>
    </w:p>
    <w:p>
      <w:pPr>
        <w:spacing w:before="80" w:after="80" w:line="280"/>
        <w:jc w:val="left"/>
      </w:pPr>
      <w:r>
        <w:rPr>
          <w:rFonts w:ascii="Arial" w:cs="Arial" w:eastAsia="Arial" w:hAnsi="Arial"/>
          <w:color w:val="1A1A1A"/>
          <w:sz w:val="20"/>
          <w:szCs w:val="20"/>
        </w:rPr>
        <w:t xml:space="preserve">The following exploratory biomarkers will be evaluated in a pre-specified translational research plan (separate document):</w:t>
      </w:r>
    </w:p>
    <w:p>
      <w:pPr>
        <w:pStyle w:val="ListParagraph"/>
        <w:numPr>
          <w:ilvl w:val="0"/>
          <w:numId w:val="2"/>
        </w:numPr>
        <w:spacing w:before="40" w:after="40" w:line="276"/>
      </w:pPr>
      <w:r>
        <w:rPr>
          <w:rFonts w:ascii="Arial" w:cs="Arial" w:eastAsia="Arial" w:hAnsi="Arial"/>
          <w:color w:val="1A1A1A"/>
          <w:sz w:val="20"/>
          <w:szCs w:val="20"/>
        </w:rPr>
        <w:t xml:space="preserve">Tumor mutational burden (TMB) — FoundationOne CDx; TMB-H defined as ≥10 mut/Mb</w:t>
      </w:r>
    </w:p>
    <w:p>
      <w:pPr>
        <w:pStyle w:val="ListParagraph"/>
        <w:numPr>
          <w:ilvl w:val="0"/>
          <w:numId w:val="2"/>
        </w:numPr>
        <w:spacing w:before="40" w:after="40" w:line="276"/>
      </w:pPr>
      <w:r>
        <w:rPr>
          <w:rFonts w:ascii="Arial" w:cs="Arial" w:eastAsia="Arial" w:hAnsi="Arial"/>
          <w:color w:val="1A1A1A"/>
          <w:sz w:val="20"/>
          <w:szCs w:val="20"/>
        </w:rPr>
        <w:t xml:space="preserve">PD-L1 CPS — Dako 22C3 pharmDx; scored by central pathologist</w:t>
      </w:r>
    </w:p>
    <w:p>
      <w:pPr>
        <w:pStyle w:val="ListParagraph"/>
        <w:numPr>
          <w:ilvl w:val="0"/>
          <w:numId w:val="2"/>
        </w:numPr>
        <w:spacing w:before="40" w:after="40" w:line="276"/>
      </w:pPr>
      <w:r>
        <w:rPr>
          <w:rFonts w:ascii="Arial" w:cs="Arial" w:eastAsia="Arial" w:hAnsi="Arial"/>
          <w:color w:val="1A1A1A"/>
          <w:sz w:val="20"/>
          <w:szCs w:val="20"/>
        </w:rPr>
        <w:t xml:space="preserve">T-cell infiltration (CD8+ TIL density) — IHC, multiplex immunofluorescence (mIF)</w:t>
      </w:r>
    </w:p>
    <w:p>
      <w:pPr>
        <w:pStyle w:val="ListParagraph"/>
        <w:numPr>
          <w:ilvl w:val="0"/>
          <w:numId w:val="2"/>
        </w:numPr>
        <w:spacing w:before="40" w:after="40" w:line="276"/>
      </w:pPr>
      <w:r>
        <w:rPr>
          <w:rFonts w:ascii="Arial" w:cs="Arial" w:eastAsia="Arial" w:hAnsi="Arial"/>
          <w:color w:val="1A1A1A"/>
          <w:sz w:val="20"/>
          <w:szCs w:val="20"/>
        </w:rPr>
        <w:t xml:space="preserve">ctDNA (plasma cfDNA) — FoundationOne Liquid CDx for molecular response and MRD assessment</w:t>
      </w:r>
    </w:p>
    <w:p>
      <w:pPr>
        <w:pStyle w:val="ListParagraph"/>
        <w:numPr>
          <w:ilvl w:val="0"/>
          <w:numId w:val="2"/>
        </w:numPr>
        <w:spacing w:before="40" w:after="40" w:line="276"/>
      </w:pPr>
      <w:r>
        <w:rPr>
          <w:rFonts w:ascii="Arial" w:cs="Arial" w:eastAsia="Arial" w:hAnsi="Arial"/>
          <w:color w:val="1A1A1A"/>
          <w:sz w:val="20"/>
          <w:szCs w:val="20"/>
        </w:rPr>
        <w:t xml:space="preserve">ctMSI — liquid biopsy-based MSI determination for longitudinal monitoring</w:t>
      </w:r>
    </w:p>
    <w:p>
      <w:pPr>
        <w:pStyle w:val="ListParagraph"/>
        <w:numPr>
          <w:ilvl w:val="0"/>
          <w:numId w:val="2"/>
        </w:numPr>
        <w:spacing w:before="40" w:after="40" w:line="276"/>
      </w:pPr>
      <w:r>
        <w:rPr>
          <w:rFonts w:ascii="Arial" w:cs="Arial" w:eastAsia="Arial" w:hAnsi="Arial"/>
          <w:color w:val="1A1A1A"/>
          <w:sz w:val="20"/>
          <w:szCs w:val="20"/>
        </w:rPr>
        <w:t xml:space="preserve">TCR clonality — bulk TCR sequencing (Adaptive Biotechnologies ImmunoSEQ)</w:t>
      </w:r>
    </w:p>
    <w:p>
      <w:pPr>
        <w:pStyle w:val="ListParagraph"/>
        <w:numPr>
          <w:ilvl w:val="0"/>
          <w:numId w:val="2"/>
        </w:numPr>
        <w:spacing w:before="40" w:after="40" w:line="276"/>
      </w:pPr>
      <w:r>
        <w:rPr>
          <w:rFonts w:ascii="Arial" w:cs="Arial" w:eastAsia="Arial" w:hAnsi="Arial"/>
          <w:color w:val="1A1A1A"/>
          <w:sz w:val="20"/>
          <w:szCs w:val="20"/>
        </w:rPr>
        <w:t xml:space="preserve">RNA-seq transcriptomic profiling — pre-treatment biopsies for immune gene expression signatures</w:t>
      </w:r>
    </w:p>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9. ETHICAL AND REGULATORY CONSIDERATIONS</w:t>
      </w:r>
    </w:p>
    <w:p>
      <w:pPr>
        <w:pStyle w:val="Heading2"/>
        <w:spacing w:before="240" w:after="80"/>
      </w:pPr>
      <w:r>
        <w:rPr>
          <w:rFonts w:ascii="Arial" w:cs="Arial" w:eastAsia="Arial" w:hAnsi="Arial"/>
          <w:b/>
          <w:bCs/>
          <w:color w:val="4A6FA5"/>
          <w:sz w:val="22"/>
          <w:szCs w:val="22"/>
        </w:rPr>
        <w:t xml:space="preserve">9.1 Informed Consent</w:t>
      </w:r>
    </w:p>
    <w:p>
      <w:pPr>
        <w:spacing w:before="80" w:after="80" w:line="280"/>
        <w:jc w:val="left"/>
      </w:pPr>
      <w:r>
        <w:rPr>
          <w:rFonts w:ascii="Arial" w:cs="Arial" w:eastAsia="Arial" w:hAnsi="Arial"/>
          <w:color w:val="1A1A1A"/>
          <w:sz w:val="20"/>
          <w:szCs w:val="20"/>
        </w:rPr>
        <w:t xml:space="preserve">Written informed consent will be obtained from all patients prior to any study-specific procedures. The consent process will comply with ICH E6(R2), 21 CFR 50, and applicable local regulations. A patient-friendly lay summary will be provided. Patients will be informed of the investigational nature of CERVIMAB, the risks of immune-related adverse events, the requirement for central biomarker testing, and the collection and use of biological samples for research purposes.</w:t>
      </w:r>
    </w:p>
    <w:p>
      <w:pPr>
        <w:pStyle w:val="Heading2"/>
        <w:spacing w:before="240" w:after="80"/>
      </w:pPr>
      <w:r>
        <w:rPr>
          <w:rFonts w:ascii="Arial" w:cs="Arial" w:eastAsia="Arial" w:hAnsi="Arial"/>
          <w:b/>
          <w:bCs/>
          <w:color w:val="4A6FA5"/>
          <w:sz w:val="22"/>
          <w:szCs w:val="22"/>
        </w:rPr>
        <w:t xml:space="preserve">9.2 IRB/IEC Review</w:t>
      </w:r>
    </w:p>
    <w:p>
      <w:pPr>
        <w:spacing w:before="80" w:after="80" w:line="280"/>
        <w:jc w:val="left"/>
      </w:pPr>
      <w:r>
        <w:rPr>
          <w:rFonts w:ascii="Arial" w:cs="Arial" w:eastAsia="Arial" w:hAnsi="Arial"/>
          <w:color w:val="1A1A1A"/>
          <w:sz w:val="20"/>
          <w:szCs w:val="20"/>
        </w:rPr>
        <w:t xml:space="preserve">The protocol, consent forms, and patient-facing materials require approval from an Institutional Review Board (IRB) or Independent Ethics Committee (IEC) at each site prior to enrollment. Continuing review will occur at least annually. Any protocol amendments affecting patient safety or study procedures will require prospective IRB/IEC approval before implementation.</w:t>
      </w:r>
    </w:p>
    <w:p>
      <w:pPr>
        <w:pStyle w:val="Heading2"/>
        <w:spacing w:before="240" w:after="80"/>
      </w:pPr>
      <w:r>
        <w:rPr>
          <w:rFonts w:ascii="Arial" w:cs="Arial" w:eastAsia="Arial" w:hAnsi="Arial"/>
          <w:b/>
          <w:bCs/>
          <w:color w:val="4A6FA5"/>
          <w:sz w:val="22"/>
          <w:szCs w:val="22"/>
        </w:rPr>
        <w:t xml:space="preserve">9.3 Protocol Amendments</w:t>
      </w:r>
    </w:p>
    <w:p>
      <w:pPr>
        <w:spacing w:before="80" w:after="80" w:line="280"/>
        <w:jc w:val="left"/>
      </w:pPr>
      <w:r>
        <w:rPr>
          <w:rFonts w:ascii="Arial" w:cs="Arial" w:eastAsia="Arial" w:hAnsi="Arial"/>
          <w:color w:val="1A1A1A"/>
          <w:sz w:val="20"/>
          <w:szCs w:val="20"/>
        </w:rPr>
        <w:t xml:space="preserve">Protocol modifications will be handled per the Sponsor's standard operating procedures and submitted to FDA as IND amendments. Substantial protocol amendments (as defined by ICH E6(R2) and 21 CFR 312.30) will also require prospective IRB/IEC approval. Non-substantial administrative amendments will be documented and reported at the next annual IND report.</w:t>
      </w:r>
    </w:p>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10. PUBLICATION AND DATA POLICY</w:t>
      </w:r>
    </w:p>
    <w:p>
      <w:pPr>
        <w:spacing w:before="80" w:after="80" w:line="280"/>
        <w:jc w:val="left"/>
      </w:pPr>
      <w:r>
        <w:rPr>
          <w:rFonts w:ascii="Arial" w:cs="Arial" w:eastAsia="Arial" w:hAnsi="Arial"/>
          <w:color w:val="1A1A1A"/>
          <w:sz w:val="20"/>
          <w:szCs w:val="20"/>
        </w:rPr>
        <w:t xml:space="preserve">Results of this study will be submitted for publication in a peer-reviewed journal within 12 months of the primary analysis data lock, regardless of outcome. Interim or exploratory analyses may be presented at scientific meetings. All publications will follow CONSORT reporting standards. De-identified patient-level data may be shared via a controlled access platform (e.g., Vivli) following regulatory approval and BLA submission.</w:t>
      </w:r>
    </w:p>
    <w:p>
      <w:pPr>
        <w:spacing w:before="0" w:after="200"/>
      </w:pPr>
      <w:r>
        <w:t xml:space="preserve"/>
      </w:r>
    </w:p>
    <w:p>
      <w:pPr>
        <w:pBdr>
          <w:top w:val="single" w:color="D0D7E3" w:sz="4" w:space="4"/>
        </w:pBdr>
        <w:spacing w:before="200" w:after="60"/>
      </w:pPr>
      <w:r>
        <w:rPr>
          <w:rFonts w:ascii="Arial" w:cs="Arial" w:eastAsia="Arial" w:hAnsi="Arial"/>
          <w:b/>
          <w:bCs/>
          <w:color w:val="555555"/>
          <w:sz w:val="18"/>
          <w:szCs w:val="18"/>
        </w:rPr>
        <w:t xml:space="preserve">END OF PROTOCOL SYNOPSIS — Full Protocol (CERVIMAB-CRC-002 v1.0) available upon request</w:t>
      </w:r>
    </w:p>
    <w:p>
      <w:pPr>
        <w:spacing w:before="0" w:after="60"/>
      </w:pPr>
      <w:r>
        <w:t xml:space="preserve"/>
      </w:r>
    </w:p>
    <w:p>
      <w:pPr>
        <w:spacing w:before="80" w:after="80" w:line="280"/>
        <w:jc w:val="left"/>
      </w:pPr>
      <w:r>
        <w:rPr>
          <w:rFonts w:ascii="Arial" w:cs="Arial" w:eastAsia="Arial" w:hAnsi="Arial"/>
          <w:b/>
          <w:bCs/>
          <w:color w:val="1A1A1A"/>
          <w:sz w:val="20"/>
          <w:szCs w:val="20"/>
        </w:rPr>
        <w:t xml:space="preserve">Protocol Synopsis prepared by:</w:t>
      </w:r>
    </w:p>
    <w:p>
      <w:pPr>
        <w:spacing w:before="0" w:after="300"/>
      </w:pPr>
      <w:r>
        <w:t xml:space="preserve"/>
      </w:r>
    </w:p>
    <w:p>
      <w:pPr>
        <w:spacing w:before="80" w:after="80" w:line="280"/>
        <w:jc w:val="left"/>
      </w:pPr>
      <w:r>
        <w:rPr>
          <w:rFonts w:ascii="Arial" w:cs="Arial" w:eastAsia="Arial" w:hAnsi="Arial"/>
          <w:color w:val="1A1A1A"/>
          <w:sz w:val="20"/>
          <w:szCs w:val="20"/>
        </w:rPr>
        <w:t xml:space="preserve">Sarah L. Chen, PhD  |  VP, Clinical Development</w:t>
      </w:r>
    </w:p>
    <w:p>
      <w:pPr>
        <w:spacing w:before="80" w:after="80" w:line="280"/>
        <w:jc w:val="left"/>
      </w:pPr>
      <w:r>
        <w:rPr>
          <w:rFonts w:ascii="Arial" w:cs="Arial" w:eastAsia="Arial" w:hAnsi="Arial"/>
          <w:color w:val="1A1A1A"/>
          <w:sz w:val="20"/>
          <w:szCs w:val="20"/>
        </w:rPr>
        <w:t xml:space="preserve">Marcus T. Wells, PhD  |  Director, Biostatistics</w:t>
      </w:r>
    </w:p>
    <w:p>
      <w:pPr>
        <w:spacing w:before="80" w:after="80" w:line="280"/>
        <w:jc w:val="left"/>
      </w:pPr>
      <w:r>
        <w:rPr>
          <w:rFonts w:ascii="Arial" w:cs="Arial" w:eastAsia="Arial" w:hAnsi="Arial"/>
          <w:color w:val="1A1A1A"/>
          <w:sz w:val="20"/>
          <w:szCs w:val="20"/>
        </w:rPr>
        <w:t xml:space="preserve">David K. Osei, MD  |  Chief Medical Officer, OncoBioLogics, Inc.</w:t>
      </w:r>
    </w:p>
    <w:p>
      <w:pPr>
        <w:spacing w:before="80" w:after="80" w:line="280"/>
        <w:jc w:val="left"/>
      </w:pPr>
      <w:r>
        <w:rPr>
          <w:rFonts w:ascii="Arial" w:cs="Arial" w:eastAsia="Arial" w:hAnsi="Arial"/>
          <w:color w:val="1A1A1A"/>
          <w:sz w:val="20"/>
          <w:szCs w:val="20"/>
        </w:rPr>
        <w:t xml:space="preserve">March 16,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4"/>
      </w:pBdr>
      <w:tabs>
        <w:tab w:val="right" w:pos="9720"/>
      </w:tabs>
    </w:pPr>
    <w:r>
      <w:rPr>
        <w:rFonts w:ascii="Arial" w:cs="Arial" w:eastAsia="Arial" w:hAnsi="Arial"/>
        <w:color w:val="555555"/>
        <w:sz w:val="16"/>
        <w:szCs w:val="16"/>
      </w:rPr>
      <w:t xml:space="preserve">OncoBioLogics, Inc.  |  CERVIMAB-CRC-002 Phase 2 Protocol Synopsis</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200"/>
      <w:gridCol w:w="3520"/>
    </w:tblGrid>
    <w:tr>
      <w:tc>
        <w:tcPr>
          <w:tcW w:type="dxa" w:w="6200"/>
          <w:tcBorders>
            <w:top w:val="none"/>
            <w:left w:val="none"/>
            <w:bottom w:val="single" w:color="1B3A6B" w:sz="6"/>
            <w:right w:val="none"/>
          </w:tcBorders>
          <w:tcMar>
            <w:top w:type="dxa" w:w="60"/>
            <w:left w:type="dxa" w:w="0"/>
            <w:bottom w:type="dxa" w:w="60"/>
            <w:right w:type="dxa" w:w="120"/>
          </w:tcMar>
        </w:tcPr>
        <w:p>
          <w:r>
            <w:rPr>
              <w:rFonts w:ascii="Arial" w:cs="Arial" w:eastAsia="Arial" w:hAnsi="Arial"/>
              <w:b/>
              <w:bCs/>
              <w:color w:val="1B3A6B"/>
              <w:sz w:val="16"/>
              <w:szCs w:val="16"/>
            </w:rPr>
            <w:t xml:space="preserve">CERVIMAB-CRC-002 Protocol Synopsis  |  IND 123456  |  v1.0 March 2026</w:t>
          </w:r>
        </w:p>
      </w:tc>
      <w:tc>
        <w:tcPr>
          <w:tcW w:type="dxa" w:w="3520"/>
          <w:tcBorders>
            <w:top w:val="none"/>
            <w:left w:val="none"/>
            <w:bottom w:val="single" w:color="1B3A6B" w:sz="6"/>
            <w:right w:val="none"/>
          </w:tcBorders>
          <w:tcMar>
            <w:top w:type="dxa" w:w="60"/>
            <w:left w:type="dxa" w:w="120"/>
            <w:bottom w:type="dxa" w:w="60"/>
            <w:right w:type="dxa" w:w="0"/>
          </w:tcMar>
        </w:tcPr>
        <w:p>
          <w:pPr>
            <w:jc w:val="right"/>
          </w:pPr>
          <w:r>
            <w:rPr>
              <w:rFonts w:ascii="Arial" w:cs="Arial" w:eastAsia="Arial" w:hAnsi="Arial"/>
              <w:b/>
              <w:bCs/>
              <w:color w:val="C0392B"/>
              <w:sz w:val="16"/>
              <w:szCs w:val="16"/>
            </w:rPr>
            <w:t xml:space="preserve">CONFIDENTIAL — INVESTIGATIONAL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4A6FA5"/>
      <w:sz w:val="22"/>
      <w:szCs w:val="22"/>
    </w:rPr>
  </w:style>
  <w:style w:type="paragraph" w:styleId="Heading3">
    <w:name w:val="Heading 3"/>
    <w:basedOn w:val="Normal"/>
    <w:next w:val="Normal"/>
    <w:qFormat/>
    <w:pPr>
      <w:spacing w:before="160" w:after="60"/>
      <w:outlineLvl w:val="2"/>
    </w:pPr>
    <w:rPr>
      <w:rFonts w:ascii="Arial" w:cs="Arial" w:eastAsia="Arial" w:hAnsi="Arial"/>
      <w:b/>
      <w:b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2026-03-16T13:46:57.601Z</dcterms:created>
  <dcterms:modified xsi:type="dcterms:W3CDTF">2026-03-16T13:46:57.601Z</dcterms:modified>
</cp:coreProperties>
</file>

<file path=docProps/custom.xml><?xml version="1.0" encoding="utf-8"?>
<Properties xmlns="http://schemas.openxmlformats.org/officeDocument/2006/custom-properties" xmlns:vt="http://schemas.openxmlformats.org/officeDocument/2006/docPropsVTypes"/>
</file>