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60"/>
        <w:jc w:val="center"/>
      </w:pPr>
      <w:r>
        <w:rPr>
          <w:rFonts w:ascii="Arial" w:cs="Arial" w:eastAsia="Arial" w:hAnsi="Arial"/>
          <w:b/>
          <w:bCs/>
          <w:color w:val="555555"/>
          <w:sz w:val="20"/>
          <w:szCs w:val="20"/>
        </w:rPr>
        <w:t xml:space="preserve">FDA TYPE B END-OF-PHASE 1 MEETING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BRIEFING DOCUMENT</w:t>
            </w:r>
          </w:p>
        </w:tc>
      </w:tr>
      <w:tr>
        <w:tc>
          <w:tcPr>
            <w:tcW w:type="dxa" w:w="972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tcPr>
          <w:p>
            <w:pPr>
              <w:jc w:val="center"/>
            </w:pPr>
            <w:r>
              <w:rPr>
                <w:rFonts w:ascii="Arial" w:cs="Arial" w:eastAsia="Arial" w:hAnsi="Arial"/>
                <w:b w:val="false"/>
                <w:bCs w:val="false"/>
                <w:color w:val="FFFFFF"/>
                <w:sz w:val="12"/>
                <w:szCs w:val="12"/>
              </w:rPr>
              <w:t xml:space="preserve"/>
            </w:r>
          </w:p>
        </w:tc>
      </w:tr>
      <w:tr>
        <w:tc>
          <w:tcPr>
            <w:tcW w:type="dxa" w:w="9720"/>
            <w:tcBorders>
              <w:top w:val="single" w:color="1B3A6B" w:sz="1"/>
              <w:left w:val="single" w:color="1B3A6B" w:sz="1"/>
              <w:bottom w:val="single" w:color="1B3A6B" w:sz="1"/>
              <w:right w:val="single" w:color="1B3A6B" w:sz="1"/>
            </w:tcBorders>
            <w:shd w:fill="2E6DB4"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CERVIMAB (anti-PD-1 Monoclonal Antibody)</w:t>
            </w:r>
          </w:p>
        </w:tc>
      </w:tr>
      <w:tr>
        <w:tc>
          <w:tcPr>
            <w:tcW w:type="dxa" w:w="9720"/>
            <w:tcBorders>
              <w:top w:val="single" w:color="1B3A6B" w:sz="1"/>
              <w:left w:val="single" w:color="1B3A6B" w:sz="1"/>
              <w:bottom w:val="single" w:color="1B3A6B" w:sz="1"/>
              <w:right w:val="single" w:color="1B3A6B" w:sz="1"/>
            </w:tcBorders>
            <w:shd w:fill="2E6DB4" w:val="clear"/>
            <w:tcMar>
              <w:top w:type="dxa" w:w="160"/>
              <w:left w:type="dxa" w:w="200"/>
              <w:bottom w:type="dxa" w:w="160"/>
              <w:right w:type="dxa" w:w="200"/>
            </w:tcMar>
          </w:tcPr>
          <w:p>
            <w:pPr>
              <w:jc w:val="center"/>
            </w:pPr>
            <w:r>
              <w:rPr>
                <w:rFonts w:ascii="Arial" w:cs="Arial" w:eastAsia="Arial" w:hAnsi="Arial"/>
                <w:b w:val="false"/>
                <w:bCs w:val="false"/>
                <w:color w:val="FFFFFF"/>
                <w:sz w:val="22"/>
                <w:szCs w:val="22"/>
              </w:rPr>
              <w:t xml:space="preserve">dMMR/MSI-H Metastatic Colorectal Cancer</w:t>
            </w:r>
          </w:p>
        </w:tc>
      </w:tr>
      <w:tr>
        <w:tc>
          <w:tcPr>
            <w:tcW w:type="dxa" w:w="9720"/>
            <w:tcBorders>
              <w:top w:val="single" w:color="1B3A6B" w:sz="1"/>
              <w:left w:val="single" w:color="1B3A6B" w:sz="1"/>
              <w:bottom w:val="single" w:color="1B3A6B" w:sz="1"/>
              <w:right w:val="single" w:color="1B3A6B" w:sz="1"/>
            </w:tcBorders>
            <w:shd w:fill="FFFFFF" w:val="clear"/>
            <w:tcMar>
              <w:top w:type="dxa" w:w="160"/>
              <w:left w:type="dxa" w:w="200"/>
              <w:bottom w:type="dxa" w:w="160"/>
              <w:right w:type="dxa" w:w="200"/>
            </w:tcMar>
          </w:tcPr>
          <w:p>
            <w:pPr>
              <w:jc w:val="center"/>
            </w:pPr>
            <w:r>
              <w:rPr>
                <w:rFonts w:ascii="Arial" w:cs="Arial" w:eastAsia="Arial" w:hAnsi="Arial"/>
                <w:b w:val="false"/>
                <w:bCs w:val="false"/>
                <w:color w:val="1A1A1A"/>
                <w:sz w:val="14"/>
                <w:szCs w:val="14"/>
              </w:rPr>
              <w:t xml:space="preserve"/>
            </w:r>
          </w:p>
        </w:tc>
      </w:tr>
      <w:tr>
        <w:tc>
          <w:tcPr>
            <w:tcW w:type="dxa" w:w="9720"/>
            <w:tcBorders>
              <w:top w:val="single" w:color="1B3A6B" w:sz="1"/>
              <w:left w:val="single" w:color="1B3A6B" w:sz="1"/>
              <w:bottom w:val="single" w:color="1B3A6B" w:sz="1"/>
              <w:right w:val="single" w:color="1B3A6B" w:sz="1"/>
            </w:tcBorders>
            <w:shd w:fill="F2F4F8" w:val="clear"/>
            <w:tcMar>
              <w:top w:type="dxa" w:w="160"/>
              <w:left w:type="dxa" w:w="200"/>
              <w:bottom w:type="dxa" w:w="160"/>
              <w:right w:type="dxa" w:w="200"/>
            </w:tcMar>
          </w:tcPr>
          <w:p>
            <w:pPr>
              <w:jc w:val="center"/>
            </w:pPr>
            <w:r>
              <w:rPr>
                <w:rFonts w:ascii="Arial" w:cs="Arial" w:eastAsia="Arial" w:hAnsi="Arial"/>
                <w:b/>
                <w:bCs/>
                <w:color w:val="1B3A6B"/>
                <w:sz w:val="20"/>
                <w:szCs w:val="20"/>
              </w:rPr>
              <w:t xml:space="preserve">IND 123456  |  OncoBioLogics, Inc.</w:t>
            </w:r>
          </w:p>
        </w:tc>
      </w:tr>
      <w:tr>
        <w:tc>
          <w:tcPr>
            <w:tcW w:type="dxa" w:w="9720"/>
            <w:tcBorders>
              <w:top w:val="single" w:color="1B3A6B" w:sz="1"/>
              <w:left w:val="single" w:color="1B3A6B" w:sz="1"/>
              <w:bottom w:val="single" w:color="1B3A6B" w:sz="1"/>
              <w:right w:val="single" w:color="1B3A6B" w:sz="1"/>
            </w:tcBorders>
            <w:shd w:fill="F2F4F8" w:val="clear"/>
            <w:tcMar>
              <w:top w:type="dxa" w:w="160"/>
              <w:left w:type="dxa" w:w="200"/>
              <w:bottom w:type="dxa" w:w="160"/>
              <w:right w:type="dxa" w:w="200"/>
            </w:tcMar>
          </w:tcPr>
          <w:p>
            <w:pPr>
              <w:jc w:val="center"/>
            </w:pPr>
            <w:r>
              <w:rPr>
                <w:rFonts w:ascii="Arial" w:cs="Arial" w:eastAsia="Arial" w:hAnsi="Arial"/>
                <w:b w:val="false"/>
                <w:bCs w:val="false"/>
                <w:color w:val="555555"/>
                <w:sz w:val="18"/>
                <w:szCs w:val="18"/>
              </w:rPr>
              <w:t xml:space="preserve">Meeting Date: [To Be Scheduled]  |  Submission Date: March 16, 2026</w:t>
            </w:r>
          </w:p>
        </w:tc>
      </w:tr>
    </w:tbl>
    <w:p>
      <w:pPr>
        <w:spacing w:before="0" w:after="200"/>
      </w:pPr>
      <w:r>
        <w:t xml:space="preserve"/>
      </w:r>
    </w:p>
    <w:p>
      <w:pPr>
        <w:jc w:val="center"/>
      </w:pPr>
      <w:r>
        <w:rPr>
          <w:rFonts w:ascii="Arial" w:cs="Arial" w:eastAsia="Arial" w:hAnsi="Arial"/>
          <w:b/>
          <w:bCs/>
          <w:color w:val="C0392B"/>
          <w:sz w:val="18"/>
          <w:szCs w:val="18"/>
        </w:rPr>
        <w:t xml:space="preserve">CONFIDENTIAL — FOR FDA REVIEW ONLY — Do Not Distribute</w:t>
      </w:r>
    </w:p>
    <w:p>
      <w:r>
        <w:br w:type="page"/>
      </w:r>
    </w:p>
    <w:p>
      <w:pPr>
        <w:pStyle w:val="Heading1"/>
        <w:pBdr>
          <w:bottom w:val="single" w:color="1B3A6B" w:sz="4" w:space="4"/>
        </w:pBdr>
        <w:spacing w:before="320" w:after="120"/>
      </w:pPr>
      <w:r>
        <w:rPr>
          <w:rFonts w:ascii="Arial" w:cs="Arial" w:eastAsia="Arial" w:hAnsi="Arial"/>
          <w:b/>
          <w:bCs/>
          <w:color w:val="1B3A6B"/>
          <w:sz w:val="28"/>
          <w:szCs w:val="28"/>
        </w:rPr>
        <w:t xml:space="preserve">EXECUTIVE SUMMARY</w:t>
      </w:r>
    </w:p>
    <w:p>
      <w:pPr>
        <w:spacing w:before="80" w:after="80" w:line="280"/>
        <w:jc w:val="left"/>
      </w:pPr>
      <w:r>
        <w:rPr>
          <w:rFonts w:ascii="Arial" w:cs="Arial" w:eastAsia="Arial" w:hAnsi="Arial"/>
          <w:color w:val="1A1A1A"/>
          <w:sz w:val="20"/>
          <w:szCs w:val="20"/>
        </w:rPr>
        <w:t xml:space="preserve">OncoBioLogics, Inc. presents this briefing document to support the End-of-Phase 1 meeting for CERVIMAB, a novel humanized anti-PD-1 IgG4 monoclonal antibody being developed for the treatment of dMMR/MSI-H metastatic colorectal cancer (mCRC). CERVIMAB has demonstrated a clinically meaningful and durable antitumor response in the Phase 1 expansion cohort, with an ORR of 43.1% in dMMR/MSI-H mCRC patients who had received at least one prior line of therapy, and a tolerability profile consistent with the known class of PD-1 inhibitors.</w:t>
      </w:r>
    </w:p>
    <w:p>
      <w:pPr>
        <w:spacing w:before="0" w:after="60"/>
      </w:pPr>
      <w:r>
        <w:t xml:space="preserve"/>
      </w:r>
    </w:p>
    <w:p>
      <w:pPr>
        <w:spacing w:before="80" w:after="80" w:line="280"/>
        <w:jc w:val="left"/>
      </w:pPr>
      <w:r>
        <w:rPr>
          <w:rFonts w:ascii="Arial" w:cs="Arial" w:eastAsia="Arial" w:hAnsi="Arial"/>
          <w:color w:val="1A1A1A"/>
          <w:sz w:val="20"/>
          <w:szCs w:val="20"/>
        </w:rPr>
        <w:t xml:space="preserve">The Sponsor proposes to advance CERVIMAB into a randomized, open-label Phase 2 trial (CERVIMAB-CRC-002) comparing CERVIMAB 400 mg IV Q3W versus investigator's choice of second-line standard-of-care chemotherapy (FOLFIRI ± bevacizumab) in approximately 200 dMMR/MSI-H mCRC patients. The primary endpoint is progression-free survival (PFS) per RECIST v1.1 by BICR. This briefing document provides a comprehensive summary of the data supporting Phase 2 initiation and the specific questions for FDA discussion.</w:t>
      </w:r>
    </w:p>
    <w:p>
      <w:r>
        <w:br w:type="page"/>
      </w:r>
    </w:p>
    <w:p>
      <w:pPr>
        <w:pStyle w:val="Heading1"/>
        <w:pBdr>
          <w:bottom w:val="single" w:color="1B3A6B" w:sz="4" w:space="4"/>
        </w:pBdr>
        <w:spacing w:before="320" w:after="120"/>
      </w:pPr>
      <w:r>
        <w:rPr>
          <w:rFonts w:ascii="Arial" w:cs="Arial" w:eastAsia="Arial" w:hAnsi="Arial"/>
          <w:b/>
          <w:bCs/>
          <w:color w:val="1B3A6B"/>
          <w:sz w:val="28"/>
          <w:szCs w:val="28"/>
        </w:rPr>
        <w:t xml:space="preserve">1. CLINICAL PHARMACOLOGY</w:t>
      </w:r>
    </w:p>
    <w:p>
      <w:pPr>
        <w:pStyle w:val="Heading2"/>
        <w:spacing w:before="240" w:after="80"/>
      </w:pPr>
      <w:r>
        <w:rPr>
          <w:rFonts w:ascii="Arial" w:cs="Arial" w:eastAsia="Arial" w:hAnsi="Arial"/>
          <w:b/>
          <w:bCs/>
          <w:color w:val="4A6FA5"/>
          <w:sz w:val="22"/>
          <w:szCs w:val="22"/>
        </w:rPr>
        <w:t xml:space="preserve">1.1 Pharmacokinetics</w:t>
      </w:r>
    </w:p>
    <w:p>
      <w:pPr>
        <w:spacing w:before="80" w:after="80" w:line="280"/>
        <w:jc w:val="left"/>
      </w:pPr>
      <w:r>
        <w:rPr>
          <w:rFonts w:ascii="Arial" w:cs="Arial" w:eastAsia="Arial" w:hAnsi="Arial"/>
          <w:color w:val="1A1A1A"/>
          <w:sz w:val="20"/>
          <w:szCs w:val="20"/>
        </w:rPr>
        <w:t xml:space="preserve">PK data were obtained from 28 patients in Part A (dose-escalation: 100–600 mg Q3W) and 65 patients in Part B (400 mg Q3W). CERVIMAB exhibited linear, dose-proportional PK across the studied dose range with no evidence of target-mediated drug disposition.</w:t>
      </w:r>
    </w:p>
    <w:p>
      <w:pP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60"/>
        <w:gridCol w:w="1660"/>
        <w:gridCol w:w="1660"/>
        <w:gridCol w:w="1940"/>
      </w:tblGrid>
      <w:tr>
        <w:tc>
          <w:tcPr>
            <w:tcW w:type="dxa" w:w="28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left"/>
            </w:pPr>
            <w:r>
              <w:rPr>
                <w:rFonts w:ascii="Arial" w:cs="Arial" w:eastAsia="Arial" w:hAnsi="Arial"/>
                <w:b/>
                <w:bCs/>
                <w:color w:val="FFFFFF"/>
                <w:sz w:val="17"/>
                <w:szCs w:val="17"/>
              </w:rPr>
              <w:t xml:space="preserve">PK Parameter</w:t>
            </w:r>
          </w:p>
        </w:tc>
        <w:tc>
          <w:tcPr>
            <w:tcW w:type="dxa" w:w="16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100 mg
(n=6)</w:t>
            </w:r>
          </w:p>
        </w:tc>
        <w:tc>
          <w:tcPr>
            <w:tcW w:type="dxa" w:w="16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200 mg
(n=6)</w:t>
            </w:r>
          </w:p>
        </w:tc>
        <w:tc>
          <w:tcPr>
            <w:tcW w:type="dxa" w:w="16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400 mg
(n=10)</w:t>
            </w:r>
          </w:p>
        </w:tc>
        <w:tc>
          <w:tcPr>
            <w:tcW w:type="dxa" w:w="194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600 mg
(n=6)</w:t>
            </w:r>
          </w:p>
        </w:tc>
      </w:tr>
      <w:tr>
        <w:tc>
          <w:tcPr>
            <w:tcW w:type="dxa" w:w="28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Cmax (μg/mL), mean ± SD</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28.4 ± 6.1</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58.2 ± 12.4</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118.6 ± 24.8</w:t>
            </w:r>
          </w:p>
        </w:tc>
        <w:tc>
          <w:tcPr>
            <w:tcW w:type="dxa" w:w="19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172.1 ± 31.5</w:t>
            </w:r>
          </w:p>
        </w:tc>
      </w:tr>
      <w:tr>
        <w:tc>
          <w:tcPr>
            <w:tcW w:type="dxa" w:w="28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AUC0-21d (μg·d/mL), mean ± SD</w:t>
            </w:r>
          </w:p>
        </w:tc>
        <w:tc>
          <w:tcPr>
            <w:tcW w:type="dxa" w:w="1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342 ± 78</w:t>
            </w:r>
          </w:p>
        </w:tc>
        <w:tc>
          <w:tcPr>
            <w:tcW w:type="dxa" w:w="1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701 ± 145</w:t>
            </w:r>
          </w:p>
        </w:tc>
        <w:tc>
          <w:tcPr>
            <w:tcW w:type="dxa" w:w="1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1,428 ± 312</w:t>
            </w:r>
          </w:p>
        </w:tc>
        <w:tc>
          <w:tcPr>
            <w:tcW w:type="dxa" w:w="19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2,087 ± 428</w:t>
            </w:r>
          </w:p>
        </w:tc>
      </w:tr>
      <w:tr>
        <w:tc>
          <w:tcPr>
            <w:tcW w:type="dxa" w:w="28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Tmax (days), median</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0.9</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0.9</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1.0</w:t>
            </w:r>
          </w:p>
        </w:tc>
        <w:tc>
          <w:tcPr>
            <w:tcW w:type="dxa" w:w="19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1.0</w:t>
            </w:r>
          </w:p>
        </w:tc>
      </w:tr>
      <w:tr>
        <w:tc>
          <w:tcPr>
            <w:tcW w:type="dxa" w:w="28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t½ (days), mean ± SD</w:t>
            </w:r>
          </w:p>
        </w:tc>
        <w:tc>
          <w:tcPr>
            <w:tcW w:type="dxa" w:w="1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22.4 ± 4.2</w:t>
            </w:r>
          </w:p>
        </w:tc>
        <w:tc>
          <w:tcPr>
            <w:tcW w:type="dxa" w:w="1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23.1 ± 3.8</w:t>
            </w:r>
          </w:p>
        </w:tc>
        <w:tc>
          <w:tcPr>
            <w:tcW w:type="dxa" w:w="1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23.7 ± 4.5</w:t>
            </w:r>
          </w:p>
        </w:tc>
        <w:tc>
          <w:tcPr>
            <w:tcW w:type="dxa" w:w="19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24.2 ± 4.9</w:t>
            </w:r>
          </w:p>
        </w:tc>
      </w:tr>
      <w:tr>
        <w:tc>
          <w:tcPr>
            <w:tcW w:type="dxa" w:w="28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Vd (L), mean</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3.8</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3.9</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4.1</w:t>
            </w:r>
          </w:p>
        </w:tc>
        <w:tc>
          <w:tcPr>
            <w:tcW w:type="dxa" w:w="19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4.2</w:t>
            </w:r>
          </w:p>
        </w:tc>
      </w:tr>
      <w:tr>
        <w:tc>
          <w:tcPr>
            <w:tcW w:type="dxa" w:w="28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Clearance (mL/day/kg), mean</w:t>
            </w:r>
          </w:p>
        </w:tc>
        <w:tc>
          <w:tcPr>
            <w:tcW w:type="dxa" w:w="1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5.1</w:t>
            </w:r>
          </w:p>
        </w:tc>
        <w:tc>
          <w:tcPr>
            <w:tcW w:type="dxa" w:w="1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5.0</w:t>
            </w:r>
          </w:p>
        </w:tc>
        <w:tc>
          <w:tcPr>
            <w:tcW w:type="dxa" w:w="1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4.9</w:t>
            </w:r>
          </w:p>
        </w:tc>
        <w:tc>
          <w:tcPr>
            <w:tcW w:type="dxa" w:w="19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4.8</w:t>
            </w:r>
          </w:p>
        </w:tc>
      </w:tr>
      <w:tr>
        <w:tc>
          <w:tcPr>
            <w:tcW w:type="dxa" w:w="28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Accumulation ratio (Cycle 4)</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1.7</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1.7</w:t>
            </w:r>
          </w:p>
        </w:tc>
        <w:tc>
          <w:tcPr>
            <w:tcW w:type="dxa" w:w="1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1.7</w:t>
            </w:r>
          </w:p>
        </w:tc>
        <w:tc>
          <w:tcPr>
            <w:tcW w:type="dxa" w:w="19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1.8</w:t>
            </w:r>
          </w:p>
        </w:tc>
      </w:tr>
    </w:tbl>
    <w:p>
      <w:pPr>
        <w:spacing w:before="0" w:after="80"/>
      </w:pPr>
      <w:r>
        <w:t xml:space="preserve"/>
      </w:r>
    </w:p>
    <w:p>
      <w:pPr>
        <w:spacing w:before="80" w:after="80" w:line="280"/>
        <w:jc w:val="left"/>
      </w:pPr>
      <w:r>
        <w:rPr>
          <w:rFonts w:ascii="Arial" w:cs="Arial" w:eastAsia="Arial" w:hAnsi="Arial"/>
          <w:color w:val="1A1A1A"/>
          <w:sz w:val="20"/>
          <w:szCs w:val="20"/>
        </w:rPr>
        <w:t xml:space="preserve">Population PK modeling (one-compartment model with first-order elimination) identified body weight as the only significant covariate; however, the impact on exposure was not clinically meaningful, supporting flat dosing at 400 mg Q3W. No dose adjustment is required for mild-to-moderate hepatic or renal impairment.</w:t>
      </w:r>
    </w:p>
    <w:p>
      <w:pPr>
        <w:pStyle w:val="Heading2"/>
        <w:spacing w:before="240" w:after="80"/>
      </w:pPr>
      <w:r>
        <w:rPr>
          <w:rFonts w:ascii="Arial" w:cs="Arial" w:eastAsia="Arial" w:hAnsi="Arial"/>
          <w:b/>
          <w:bCs/>
          <w:color w:val="4A6FA5"/>
          <w:sz w:val="22"/>
          <w:szCs w:val="22"/>
        </w:rPr>
        <w:t xml:space="preserve">1.2 Pharmacodynamics</w:t>
      </w:r>
    </w:p>
    <w:p>
      <w:pPr>
        <w:spacing w:before="80" w:after="80" w:line="280"/>
        <w:jc w:val="left"/>
      </w:pPr>
      <w:r>
        <w:rPr>
          <w:rFonts w:ascii="Arial" w:cs="Arial" w:eastAsia="Arial" w:hAnsi="Arial"/>
          <w:color w:val="1A1A1A"/>
          <w:sz w:val="20"/>
          <w:szCs w:val="20"/>
        </w:rPr>
        <w:t xml:space="preserve">Pharmacodynamic assessments included serial measurements of PD-1 receptor occupancy on circulating T cells (flow cytometry), serum cytokine profiles, and tumor-infiltrating lymphocyte (TIL) density in paired pre- and on-treatment biopsies.</w:t>
      </w:r>
    </w:p>
    <w:p>
      <w:pPr>
        <w:pStyle w:val="ListParagraph"/>
        <w:numPr>
          <w:ilvl w:val="0"/>
          <w:numId w:val="2"/>
        </w:numPr>
        <w:spacing w:before="40" w:after="40" w:line="276"/>
      </w:pPr>
      <w:r>
        <w:rPr>
          <w:rFonts w:ascii="Arial" w:cs="Arial" w:eastAsia="Arial" w:hAnsi="Arial"/>
          <w:color w:val="1A1A1A"/>
          <w:sz w:val="20"/>
          <w:szCs w:val="20"/>
        </w:rPr>
        <w:t xml:space="preserve">PD-1 receptor occupancy: Near-complete (&gt;95%) sustained occupancy at doses ≥200 mg Q3W throughout the dosing interval</w:t>
      </w:r>
    </w:p>
    <w:p>
      <w:pPr>
        <w:pStyle w:val="ListParagraph"/>
        <w:numPr>
          <w:ilvl w:val="0"/>
          <w:numId w:val="2"/>
        </w:numPr>
        <w:spacing w:before="40" w:after="40" w:line="276"/>
      </w:pPr>
      <w:r>
        <w:rPr>
          <w:rFonts w:ascii="Arial" w:cs="Arial" w:eastAsia="Arial" w:hAnsi="Arial"/>
          <w:color w:val="1A1A1A"/>
          <w:sz w:val="20"/>
          <w:szCs w:val="20"/>
        </w:rPr>
        <w:t xml:space="preserve">Peripheral blood: Dose-dependent increases in activated CD8+ T cells (Ki-67+ CD8+ T cells; 3.2-fold increase at 400 mg Q3W vs. baseline)</w:t>
      </w:r>
    </w:p>
    <w:p>
      <w:pPr>
        <w:pStyle w:val="ListParagraph"/>
        <w:numPr>
          <w:ilvl w:val="0"/>
          <w:numId w:val="2"/>
        </w:numPr>
        <w:spacing w:before="40" w:after="40" w:line="276"/>
      </w:pPr>
      <w:r>
        <w:rPr>
          <w:rFonts w:ascii="Arial" w:cs="Arial" w:eastAsia="Arial" w:hAnsi="Arial"/>
          <w:color w:val="1A1A1A"/>
          <w:sz w:val="20"/>
          <w:szCs w:val="20"/>
        </w:rPr>
        <w:t xml:space="preserve">Tumor biopsies: Significant increase in TIL density (CD8+ T cells) in paired pre/on-treatment biopsies (on-treatment vs. baseline fold change: 2.8; p = 0.003) at 400 mg Q3W</w:t>
      </w:r>
    </w:p>
    <w:p>
      <w:pPr>
        <w:pStyle w:val="ListParagraph"/>
        <w:numPr>
          <w:ilvl w:val="0"/>
          <w:numId w:val="2"/>
        </w:numPr>
        <w:spacing w:before="40" w:after="40" w:line="276"/>
      </w:pPr>
      <w:r>
        <w:rPr>
          <w:rFonts w:ascii="Arial" w:cs="Arial" w:eastAsia="Arial" w:hAnsi="Arial"/>
          <w:color w:val="1A1A1A"/>
          <w:sz w:val="20"/>
          <w:szCs w:val="20"/>
        </w:rPr>
        <w:t xml:space="preserve">Serum IFN-γ: 4.1-fold increase from baseline at Cycle 2 Day 1, consistent with T-cell activation</w:t>
      </w:r>
    </w:p>
    <w:p>
      <w:pPr>
        <w:pStyle w:val="ListParagraph"/>
        <w:numPr>
          <w:ilvl w:val="0"/>
          <w:numId w:val="2"/>
        </w:numPr>
        <w:spacing w:before="40" w:after="40" w:line="276"/>
      </w:pPr>
      <w:r>
        <w:rPr>
          <w:rFonts w:ascii="Arial" w:cs="Arial" w:eastAsia="Arial" w:hAnsi="Arial"/>
          <w:color w:val="1A1A1A"/>
          <w:sz w:val="20"/>
          <w:szCs w:val="20"/>
        </w:rPr>
        <w:t xml:space="preserve">No evidence of paradoxical immunosuppression or regulatory T-cell expansion at any dose level</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2. NONCLINICAL DATA SUMMARY</w:t>
      </w:r>
    </w:p>
    <w:p>
      <w:pPr>
        <w:pStyle w:val="Heading2"/>
        <w:spacing w:before="240" w:after="80"/>
      </w:pPr>
      <w:r>
        <w:rPr>
          <w:rFonts w:ascii="Arial" w:cs="Arial" w:eastAsia="Arial" w:hAnsi="Arial"/>
          <w:b/>
          <w:bCs/>
          <w:color w:val="4A6FA5"/>
          <w:sz w:val="22"/>
          <w:szCs w:val="22"/>
        </w:rPr>
        <w:t xml:space="preserve">2.1 In Vitro Pharmacology</w:t>
      </w:r>
    </w:p>
    <w:p>
      <w:pPr>
        <w:spacing w:before="80" w:after="80" w:line="280"/>
        <w:jc w:val="left"/>
      </w:pPr>
      <w:r>
        <w:rPr>
          <w:rFonts w:ascii="Arial" w:cs="Arial" w:eastAsia="Arial" w:hAnsi="Arial"/>
          <w:color w:val="1A1A1A"/>
          <w:sz w:val="20"/>
          <w:szCs w:val="20"/>
        </w:rPr>
        <w:t xml:space="preserve">CERVIMAB demonstrated specific, high-affinity binding to human PD-1 (KD = 0.32 nM) and cynomolgus monkey PD-1 (KD = 0.41 nM), with no detectable binding to murine PD-1 (KD &gt; 1,000 nM). CERVIMAB fully blocked PD-1/PD-L1 (IC50 = 1.2 nM) and PD-1/PD-L2 (IC50 = 1.8 nM) interactions, restoring T-cell proliferation and IFN-γ production in PD-L1-expressing co-culture assays. No agonist activity was observed.</w:t>
      </w:r>
    </w:p>
    <w:p>
      <w:pPr>
        <w:pStyle w:val="Heading2"/>
        <w:spacing w:before="240" w:after="80"/>
      </w:pPr>
      <w:r>
        <w:rPr>
          <w:rFonts w:ascii="Arial" w:cs="Arial" w:eastAsia="Arial" w:hAnsi="Arial"/>
          <w:b/>
          <w:bCs/>
          <w:color w:val="4A6FA5"/>
          <w:sz w:val="22"/>
          <w:szCs w:val="22"/>
        </w:rPr>
        <w:t xml:space="preserve">2.2 GLP Toxicology</w:t>
      </w:r>
    </w:p>
    <w:p>
      <w:pPr>
        <w:spacing w:before="80" w:after="80" w:line="280"/>
        <w:jc w:val="left"/>
      </w:pPr>
      <w:r>
        <w:rPr>
          <w:rFonts w:ascii="Arial" w:cs="Arial" w:eastAsia="Arial" w:hAnsi="Arial"/>
          <w:color w:val="1A1A1A"/>
          <w:sz w:val="20"/>
          <w:szCs w:val="20"/>
        </w:rPr>
        <w:t xml:space="preserve">Two GLP-compliant repeat-dose toxicology studies were conducted in cynomolgus monkeys (the pharmacologically relevant species):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220"/>
      </w:tblGrid>
      <w:tr>
        <w:tc>
          <w:tcPr>
            <w:tcW w:type="dxa" w:w="25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Study</w:t>
            </w:r>
          </w:p>
        </w:tc>
        <w:tc>
          <w:tcPr>
            <w:tcW w:type="dxa" w:w="20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Duration</w:t>
            </w:r>
          </w:p>
        </w:tc>
        <w:tc>
          <w:tcPr>
            <w:tcW w:type="dxa" w:w="20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Dose Range</w:t>
            </w:r>
          </w:p>
        </w:tc>
        <w:tc>
          <w:tcPr>
            <w:tcW w:type="dxa" w:w="322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Key Findings</w:t>
            </w:r>
          </w:p>
        </w:tc>
      </w:tr>
      <w:tr>
        <w:tc>
          <w:tcPr>
            <w:tcW w:type="dxa" w:w="2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4-week IV tox + 4-week recovery</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4 wk + 4 wk recovery</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0, 10, 50, 150 mg/kg Q1W</w:t>
            </w:r>
          </w:p>
        </w:tc>
        <w:tc>
          <w:tcPr>
            <w:tcW w:type="dxa" w:w="32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NOAEL: 150 mg/kg/week (~15x RP2D AUC). Transient elevations in liver enzymes (Grade 1–2, reversible). No target organ toxicity. Immune cell infiltrates in liver at HD (within expected class effect).</w:t>
            </w:r>
          </w:p>
        </w:tc>
      </w:tr>
      <w:tr>
        <w:tc>
          <w:tcPr>
            <w:tcW w:type="dxa" w:w="2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13-week IV tox + 4-week recovery</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13 wk + 4 wk recovery</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0, 10, 50, 150 mg/kg Q3W</w:t>
            </w:r>
          </w:p>
        </w:tc>
        <w:tc>
          <w:tcPr>
            <w:tcW w:type="dxa" w:w="32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NOAEL: 150 mg/kg Q3W (~18x RP2D AUC). Consistent with 4-week study. No unexpected findings. Full recovery of all parameters at 4 weeks post-dose.</w:t>
            </w:r>
          </w:p>
        </w:tc>
      </w:tr>
      <w:tr>
        <w:tc>
          <w:tcPr>
            <w:tcW w:type="dxa" w:w="25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DART study (ePPND)</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Gestational Day 20 – Lactation Day 28</w:t>
            </w:r>
          </w:p>
        </w:tc>
        <w:tc>
          <w:tcPr>
            <w:tcW w:type="dxa" w:w="20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0, 10, 50 mg/kg Q3W</w:t>
            </w:r>
          </w:p>
        </w:tc>
        <w:tc>
          <w:tcPr>
            <w:tcW w:type="dxa" w:w="32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No teratogenicity, no adverse fetal effects. Slight immunophenotypic changes in infant monkeys at 50 mg/kg; fully reversible. NOAEL for developmental toxicity: 50 mg/kg (~9x RP2D AUC).</w:t>
            </w:r>
          </w:p>
        </w:tc>
      </w:tr>
    </w:tbl>
    <w:p>
      <w:pPr>
        <w:pStyle w:val="Heading2"/>
        <w:spacing w:before="240" w:after="80"/>
      </w:pPr>
      <w:r>
        <w:rPr>
          <w:rFonts w:ascii="Arial" w:cs="Arial" w:eastAsia="Arial" w:hAnsi="Arial"/>
          <w:b/>
          <w:bCs/>
          <w:color w:val="4A6FA5"/>
          <w:sz w:val="22"/>
          <w:szCs w:val="22"/>
        </w:rPr>
        <w:t xml:space="preserve">2.3 Genotoxicity and Other Studies</w:t>
      </w:r>
    </w:p>
    <w:p>
      <w:pPr>
        <w:spacing w:before="80" w:after="80" w:line="280"/>
        <w:jc w:val="left"/>
      </w:pPr>
      <w:r>
        <w:rPr>
          <w:rFonts w:ascii="Arial" w:cs="Arial" w:eastAsia="Arial" w:hAnsi="Arial"/>
          <w:color w:val="1A1A1A"/>
          <w:sz w:val="20"/>
          <w:szCs w:val="20"/>
        </w:rPr>
        <w:t xml:space="preserve">No genotoxicity studies were conducted, consistent with FDA guidance for monoclonal antibodies (ICH S6(R1); mAbs do not interact with DNA). A tissue cross-reactivity (TCR) study in normal human tissues demonstrated binding restricted to PD-1-expressing immune cells with no unexpected off-target staining. No carcinogenicity studies are planned per ICH S6(R1).</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3. PHASE 1 CLINICAL DATA</w:t>
      </w:r>
    </w:p>
    <w:p>
      <w:pPr>
        <w:pStyle w:val="Heading2"/>
        <w:spacing w:before="240" w:after="80"/>
      </w:pPr>
      <w:r>
        <w:rPr>
          <w:rFonts w:ascii="Arial" w:cs="Arial" w:eastAsia="Arial" w:hAnsi="Arial"/>
          <w:b/>
          <w:bCs/>
          <w:color w:val="4A6FA5"/>
          <w:sz w:val="22"/>
          <w:szCs w:val="22"/>
        </w:rPr>
        <w:t xml:space="preserve">3.1 Study Design (CRV-001)</w:t>
      </w:r>
    </w:p>
    <w:p>
      <w:pPr>
        <w:spacing w:before="80" w:after="80" w:line="280"/>
        <w:jc w:val="left"/>
      </w:pPr>
      <w:r>
        <w:rPr>
          <w:rFonts w:ascii="Arial" w:cs="Arial" w:eastAsia="Arial" w:hAnsi="Arial"/>
          <w:color w:val="1A1A1A"/>
          <w:sz w:val="20"/>
          <w:szCs w:val="20"/>
        </w:rPr>
        <w:t xml:space="preserve">Study CRV-001 was a Phase 1, open-label, multicenter, first-in-human study of CERVIMAB in adult patients with advanced solid tumors. The study comprised two parts: Part A (dose-escalation using a standard 3+3 design) and Part B (dose-expansion in dMMR/MSI-H mCRC). Key eligibility criteria for Part B included:</w:t>
      </w:r>
    </w:p>
    <w:p>
      <w:pPr>
        <w:pStyle w:val="ListParagraph"/>
        <w:numPr>
          <w:ilvl w:val="0"/>
          <w:numId w:val="2"/>
        </w:numPr>
        <w:spacing w:before="40" w:after="40" w:line="276"/>
      </w:pPr>
      <w:r>
        <w:rPr>
          <w:rFonts w:ascii="Arial" w:cs="Arial" w:eastAsia="Arial" w:hAnsi="Arial"/>
          <w:color w:val="1A1A1A"/>
          <w:sz w:val="20"/>
          <w:szCs w:val="20"/>
        </w:rPr>
        <w:t xml:space="preserve">Histologically confirmed dMMR/MSI-H mCRC (central confirmation required)</w:t>
      </w:r>
    </w:p>
    <w:p>
      <w:pPr>
        <w:pStyle w:val="ListParagraph"/>
        <w:numPr>
          <w:ilvl w:val="0"/>
          <w:numId w:val="2"/>
        </w:numPr>
        <w:spacing w:before="40" w:after="40" w:line="276"/>
      </w:pPr>
      <w:r>
        <w:rPr>
          <w:rFonts w:ascii="Arial" w:cs="Arial" w:eastAsia="Arial" w:hAnsi="Arial"/>
          <w:color w:val="1A1A1A"/>
          <w:sz w:val="20"/>
          <w:szCs w:val="20"/>
        </w:rPr>
        <w:t xml:space="preserve">1–2 prior lines of systemic therapy including at least 1 fluoropyrimidine-based regimen</w:t>
      </w:r>
    </w:p>
    <w:p>
      <w:pPr>
        <w:pStyle w:val="ListParagraph"/>
        <w:numPr>
          <w:ilvl w:val="0"/>
          <w:numId w:val="2"/>
        </w:numPr>
        <w:spacing w:before="40" w:after="40" w:line="276"/>
      </w:pPr>
      <w:r>
        <w:rPr>
          <w:rFonts w:ascii="Arial" w:cs="Arial" w:eastAsia="Arial" w:hAnsi="Arial"/>
          <w:color w:val="1A1A1A"/>
          <w:sz w:val="20"/>
          <w:szCs w:val="20"/>
        </w:rPr>
        <w:t xml:space="preserve">No prior anti-PD-1, anti-PD-L1, or anti-CTLA-4 therapy</w:t>
      </w:r>
    </w:p>
    <w:p>
      <w:pPr>
        <w:pStyle w:val="ListParagraph"/>
        <w:numPr>
          <w:ilvl w:val="0"/>
          <w:numId w:val="2"/>
        </w:numPr>
        <w:spacing w:before="40" w:after="40" w:line="276"/>
      </w:pPr>
      <w:r>
        <w:rPr>
          <w:rFonts w:ascii="Arial" w:cs="Arial" w:eastAsia="Arial" w:hAnsi="Arial"/>
          <w:color w:val="1A1A1A"/>
          <w:sz w:val="20"/>
          <w:szCs w:val="20"/>
        </w:rPr>
        <w:t xml:space="preserve">ECOG PS 0–1</w:t>
      </w:r>
    </w:p>
    <w:p>
      <w:pPr>
        <w:pStyle w:val="ListParagraph"/>
        <w:numPr>
          <w:ilvl w:val="0"/>
          <w:numId w:val="2"/>
        </w:numPr>
        <w:spacing w:before="40" w:after="40" w:line="276"/>
      </w:pPr>
      <w:r>
        <w:rPr>
          <w:rFonts w:ascii="Arial" w:cs="Arial" w:eastAsia="Arial" w:hAnsi="Arial"/>
          <w:color w:val="1A1A1A"/>
          <w:sz w:val="20"/>
          <w:szCs w:val="20"/>
        </w:rPr>
        <w:t xml:space="preserve">Adequate organ function (hepatic, renal, hematologic)</w:t>
      </w:r>
    </w:p>
    <w:p>
      <w:pPr>
        <w:pStyle w:val="ListParagraph"/>
        <w:numPr>
          <w:ilvl w:val="0"/>
          <w:numId w:val="2"/>
        </w:numPr>
        <w:spacing w:before="40" w:after="40" w:line="276"/>
      </w:pPr>
      <w:r>
        <w:rPr>
          <w:rFonts w:ascii="Arial" w:cs="Arial" w:eastAsia="Arial" w:hAnsi="Arial"/>
          <w:color w:val="1A1A1A"/>
          <w:sz w:val="20"/>
          <w:szCs w:val="20"/>
        </w:rPr>
        <w:t xml:space="preserve">Measurable disease per RECIST v1.1</w:t>
      </w:r>
    </w:p>
    <w:p>
      <w:pPr>
        <w:pStyle w:val="Heading2"/>
        <w:spacing w:before="240" w:after="80"/>
      </w:pPr>
      <w:r>
        <w:rPr>
          <w:rFonts w:ascii="Arial" w:cs="Arial" w:eastAsia="Arial" w:hAnsi="Arial"/>
          <w:b/>
          <w:bCs/>
          <w:color w:val="4A6FA5"/>
          <w:sz w:val="22"/>
          <w:szCs w:val="22"/>
        </w:rPr>
        <w:t xml:space="preserve">3.2 Safety (Part B, dMMR/MSI-H mCRC; N=65)</w:t>
      </w:r>
    </w:p>
    <w:p>
      <w:pPr>
        <w:spacing w:before="80" w:after="80" w:line="280"/>
        <w:jc w:val="left"/>
      </w:pPr>
      <w:r>
        <w:rPr>
          <w:rFonts w:ascii="Arial" w:cs="Arial" w:eastAsia="Arial" w:hAnsi="Arial"/>
          <w:color w:val="1A1A1A"/>
          <w:sz w:val="20"/>
          <w:szCs w:val="20"/>
        </w:rPr>
        <w:t xml:space="preserve">The safety profile of CERVIMAB at 400 mg Q3W was consistent with the known class effects of PD-1 inhibitors, with no unexpected or novel toxicities identified. The maximum tolerated dose (MTD) was not established through 600 mg Q3W.</w:t>
      </w:r>
    </w:p>
    <w:p>
      <w:pP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400"/>
        <w:gridCol w:w="2660"/>
        <w:gridCol w:w="2660"/>
      </w:tblGrid>
      <w:tr>
        <w:tc>
          <w:tcPr>
            <w:tcW w:type="dxa" w:w="44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Adverse Event Category</w:t>
            </w:r>
          </w:p>
        </w:tc>
        <w:tc>
          <w:tcPr>
            <w:tcW w:type="dxa" w:w="26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Any Grade n (%)</w:t>
            </w:r>
          </w:p>
        </w:tc>
        <w:tc>
          <w:tcPr>
            <w:tcW w:type="dxa" w:w="26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Grade ≥3 n (%)</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A1A1A"/>
                <w:sz w:val="17"/>
                <w:szCs w:val="17"/>
              </w:rPr>
              <w:t xml:space="preserve">Any treatment-emergent AE (TEAE)</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62 (95.4%)</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28 (43.1%)</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Any treatment-related AE (TRAE)</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48 (73.8%)</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15 (23.1%)</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Fatigue</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28 (43.1%)</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 (3.1%)</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Diarrhea</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21 (32.3%)</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4 (6.2%)</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Nausea</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18 (27.7%)</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 (1.5%)</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Pruritus</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16 (24.6%)</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0 (0%)</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Rash (maculopapular)</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14 (21.5%)</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 (1.5%)</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Immune-mediated colitis</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9 (13.8%)</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5 (7.7%)</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Immune-mediated hepatitis</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5 (7.7%)</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 (3.1%)</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Immune-mediated pneumonitis</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4 (6.2%)</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 (3.1%)</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Hypothyroidism</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11 (16.9%)</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0 (0%)</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Hyperthyroidism/thyroiditis</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6 (9.2%)</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 (1.5%)</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Immune-mediated adrenal insufficiency</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3 (4.6%)</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2 (3.1%)</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Infusion-related reaction</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3 (4.6%)</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0 (0%)</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Serious AEs (SAEs) — any</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16 (24.6%)</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TRAEs leading to discontinuation</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4 (6.2%)</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TRAEs leading to dose interruption/delay</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11 (16.9%)</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Deaths (all cause; on-study)</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5 (7.7%)</w:t>
            </w:r>
          </w:p>
        </w:tc>
        <w:tc>
          <w:tcPr>
            <w:tcW w:type="dxa" w:w="26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Deaths attributed to CERVIMAB</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0 (0%)</w:t>
            </w:r>
          </w:p>
        </w:tc>
        <w:tc>
          <w:tcPr>
            <w:tcW w:type="dxa" w:w="26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7"/>
                <w:szCs w:val="17"/>
              </w:rPr>
              <w:t xml:space="preserve">—</w:t>
            </w:r>
          </w:p>
        </w:tc>
      </w:tr>
    </w:tbl>
    <w:p>
      <w:pPr>
        <w:pStyle w:val="Heading2"/>
        <w:spacing w:before="240" w:after="80"/>
      </w:pPr>
      <w:r>
        <w:rPr>
          <w:rFonts w:ascii="Arial" w:cs="Arial" w:eastAsia="Arial" w:hAnsi="Arial"/>
          <w:b/>
          <w:bCs/>
          <w:color w:val="4A6FA5"/>
          <w:sz w:val="22"/>
          <w:szCs w:val="22"/>
        </w:rPr>
        <w:t xml:space="preserve">3.3 Efficacy (Part B, dMMR/MSI-H mCRC; N=65; Data Cutoff Dec 31, 2025)</w:t>
      </w:r>
    </w:p>
    <w:p>
      <w:pP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400"/>
        <w:gridCol w:w="5320"/>
      </w:tblGrid>
      <w:tr>
        <w:tc>
          <w:tcPr>
            <w:tcW w:type="dxa" w:w="44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Endpoint</w:t>
            </w:r>
          </w:p>
        </w:tc>
        <w:tc>
          <w:tcPr>
            <w:tcW w:type="dxa" w:w="532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left"/>
            </w:pPr>
            <w:r>
              <w:rPr>
                <w:rFonts w:ascii="Arial" w:cs="Arial" w:eastAsia="Arial" w:hAnsi="Arial"/>
                <w:b/>
                <w:bCs/>
                <w:color w:val="FFFFFF"/>
                <w:sz w:val="17"/>
                <w:szCs w:val="17"/>
              </w:rPr>
              <w:t xml:space="preserve">Result (95% CI)</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A1A1A"/>
                <w:sz w:val="17"/>
                <w:szCs w:val="17"/>
              </w:rPr>
              <w:t xml:space="preserve">Best Overall Response (BICR, RECIST v1.1):</w:t>
            </w:r>
          </w:p>
        </w:tc>
        <w:tc>
          <w:tcPr>
            <w:tcW w:type="dxa" w:w="5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defaul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  Complete Response (CR)</w:t>
            </w:r>
          </w:p>
        </w:tc>
        <w:tc>
          <w:tcPr>
            <w:tcW w:type="dxa" w:w="53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6 (9.2%)</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  Partial Response (PR)</w:t>
            </w:r>
          </w:p>
        </w:tc>
        <w:tc>
          <w:tcPr>
            <w:tcW w:type="dxa" w:w="5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22 (33.8%)</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  Stable Disease (SD) ≥ 12 weeks</w:t>
            </w:r>
          </w:p>
        </w:tc>
        <w:tc>
          <w:tcPr>
            <w:tcW w:type="dxa" w:w="53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17 (26.2%)</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  Progressive Disease (PD)</w:t>
            </w:r>
          </w:p>
        </w:tc>
        <w:tc>
          <w:tcPr>
            <w:tcW w:type="dxa" w:w="5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14 (21.5%)</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  Not evaluable (NE)</w:t>
            </w:r>
          </w:p>
        </w:tc>
        <w:tc>
          <w:tcPr>
            <w:tcW w:type="dxa" w:w="53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6 (9.2%)</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Confirmed ORR (CR + PR)</w:t>
            </w:r>
          </w:p>
        </w:tc>
        <w:tc>
          <w:tcPr>
            <w:tcW w:type="dxa" w:w="5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43.1% (28/65; 95% CI: 30.9–55.9%)</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Disease Control Rate (DCR)</w:t>
            </w:r>
          </w:p>
        </w:tc>
        <w:tc>
          <w:tcPr>
            <w:tcW w:type="dxa" w:w="53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69.2% (45/65; 95% CI: 56.6–80.1%)</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Median Time to Response (TTR)</w:t>
            </w:r>
          </w:p>
        </w:tc>
        <w:tc>
          <w:tcPr>
            <w:tcW w:type="dxa" w:w="5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1.9 months (range: 1.7–8.1)</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Median Duration of Response (DoR)</w:t>
            </w:r>
          </w:p>
        </w:tc>
        <w:tc>
          <w:tcPr>
            <w:tcW w:type="dxa" w:w="53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Not reached; 79% ongoing at 12 months</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Median Progression-Free Survival (PFS)</w:t>
            </w:r>
          </w:p>
        </w:tc>
        <w:tc>
          <w:tcPr>
            <w:tcW w:type="dxa" w:w="5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9.4 months (95% CI: 7.2–13.1)</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6-month PFS rate</w:t>
            </w:r>
          </w:p>
        </w:tc>
        <w:tc>
          <w:tcPr>
            <w:tcW w:type="dxa" w:w="53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62.4% (95% CI: 49.7–73.1%)</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12-month PFS rate</w:t>
            </w:r>
          </w:p>
        </w:tc>
        <w:tc>
          <w:tcPr>
            <w:tcW w:type="dxa" w:w="5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44.8% (95% CI: 32.4–56.7%)</w:t>
            </w:r>
          </w:p>
        </w:tc>
      </w:tr>
      <w:tr>
        <w:tc>
          <w:tcPr>
            <w:tcW w:type="dxa" w:w="4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7"/>
                <w:szCs w:val="17"/>
              </w:rPr>
              <w:t xml:space="preserve">Median Overall Survival (OS)</w:t>
            </w:r>
          </w:p>
        </w:tc>
        <w:tc>
          <w:tcPr>
            <w:tcW w:type="dxa" w:w="53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Not reached; 68.2% at 12 months</w:t>
            </w:r>
          </w:p>
        </w:tc>
      </w:tr>
      <w:tr>
        <w:tc>
          <w:tcPr>
            <w:tcW w:type="dxa" w:w="4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12-month OS rate</w:t>
            </w:r>
          </w:p>
        </w:tc>
        <w:tc>
          <w:tcPr>
            <w:tcW w:type="dxa" w:w="5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7"/>
                <w:szCs w:val="17"/>
              </w:rPr>
              <w:t xml:space="preserve">68.2% (95% CI: 55.4–78.3%)</w:t>
            </w:r>
          </w:p>
        </w:tc>
      </w:tr>
    </w:tbl>
    <w:p>
      <w:pPr>
        <w:spacing w:before="0" w:after="80"/>
      </w:pPr>
      <w:r>
        <w:t xml:space="preserve"/>
      </w:r>
    </w:p>
    <w:p>
      <w:pPr>
        <w:spacing w:before="80" w:after="80" w:line="280"/>
        <w:jc w:val="left"/>
      </w:pPr>
      <w:r>
        <w:rPr>
          <w:rFonts w:ascii="Arial" w:cs="Arial" w:eastAsia="Arial" w:hAnsi="Arial"/>
          <w:color w:val="1A1A1A"/>
          <w:sz w:val="20"/>
          <w:szCs w:val="20"/>
        </w:rPr>
        <w:t xml:space="preserve">Notably, among prior responders (patients achieving CR or PR), no progressive disease events were observed during the data collection period, supporting the durability of response.</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4. CMC SUMMARY</w:t>
      </w:r>
    </w:p>
    <w:p>
      <w:pPr>
        <w:pStyle w:val="Heading2"/>
        <w:spacing w:before="240" w:after="80"/>
      </w:pPr>
      <w:r>
        <w:rPr>
          <w:rFonts w:ascii="Arial" w:cs="Arial" w:eastAsia="Arial" w:hAnsi="Arial"/>
          <w:b/>
          <w:bCs/>
          <w:color w:val="4A6FA5"/>
          <w:sz w:val="22"/>
          <w:szCs w:val="22"/>
        </w:rPr>
        <w:t xml:space="preserve">4.1 Drug Substance</w:t>
      </w:r>
    </w:p>
    <w:p>
      <w:pPr>
        <w:spacing w:before="80" w:after="80" w:line="280"/>
        <w:jc w:val="left"/>
      </w:pPr>
      <w:r>
        <w:rPr>
          <w:rFonts w:ascii="Arial" w:cs="Arial" w:eastAsia="Arial" w:hAnsi="Arial"/>
          <w:color w:val="1A1A1A"/>
          <w:sz w:val="20"/>
          <w:szCs w:val="20"/>
        </w:rPr>
        <w:t xml:space="preserve">CERVIMAB drug substance (DS) is produced by fed-batch cell culture using a Chinese Hamster Ovary (CHO) cell line engineered to express the humanized anti-PD-1 IgG4 antibody. The manufacturing process has been validated at 2,000-L bioreactor scale at a qualified GMP contract manufacturing organization (CMO). Key DS attributes:</w:t>
      </w:r>
    </w:p>
    <w:p>
      <w:pPr>
        <w:pStyle w:val="ListParagraph"/>
        <w:numPr>
          <w:ilvl w:val="0"/>
          <w:numId w:val="2"/>
        </w:numPr>
        <w:spacing w:before="40" w:after="40" w:line="276"/>
      </w:pPr>
      <w:r>
        <w:rPr>
          <w:rFonts w:ascii="Arial" w:cs="Arial" w:eastAsia="Arial" w:hAnsi="Arial"/>
          <w:color w:val="1A1A1A"/>
          <w:sz w:val="20"/>
          <w:szCs w:val="20"/>
        </w:rPr>
        <w:t xml:space="preserve">Purity (SEC-HPLC): ≥99.2% monomer; HMW species ≤0.5%</w:t>
      </w:r>
    </w:p>
    <w:p>
      <w:pPr>
        <w:pStyle w:val="ListParagraph"/>
        <w:numPr>
          <w:ilvl w:val="0"/>
          <w:numId w:val="2"/>
        </w:numPr>
        <w:spacing w:before="40" w:after="40" w:line="276"/>
      </w:pPr>
      <w:r>
        <w:rPr>
          <w:rFonts w:ascii="Arial" w:cs="Arial" w:eastAsia="Arial" w:hAnsi="Arial"/>
          <w:color w:val="1A1A1A"/>
          <w:sz w:val="20"/>
          <w:szCs w:val="20"/>
        </w:rPr>
        <w:t xml:space="preserve">Potency (cell-based PD-1 blocking assay): 85–115% relative potency specification</w:t>
      </w:r>
    </w:p>
    <w:p>
      <w:pPr>
        <w:pStyle w:val="ListParagraph"/>
        <w:numPr>
          <w:ilvl w:val="0"/>
          <w:numId w:val="2"/>
        </w:numPr>
        <w:spacing w:before="40" w:after="40" w:line="276"/>
      </w:pPr>
      <w:r>
        <w:rPr>
          <w:rFonts w:ascii="Arial" w:cs="Arial" w:eastAsia="Arial" w:hAnsi="Arial"/>
          <w:color w:val="1A1A1A"/>
          <w:sz w:val="20"/>
          <w:szCs w:val="20"/>
        </w:rPr>
        <w:t xml:space="preserve">Glycan profile: Consistent across ≥12 consecutive GMP lots (afucosylation &lt;5%)</w:t>
      </w:r>
    </w:p>
    <w:p>
      <w:pPr>
        <w:pStyle w:val="ListParagraph"/>
        <w:numPr>
          <w:ilvl w:val="0"/>
          <w:numId w:val="2"/>
        </w:numPr>
        <w:spacing w:before="40" w:after="40" w:line="276"/>
      </w:pPr>
      <w:r>
        <w:rPr>
          <w:rFonts w:ascii="Arial" w:cs="Arial" w:eastAsia="Arial" w:hAnsi="Arial"/>
          <w:color w:val="1A1A1A"/>
          <w:sz w:val="20"/>
          <w:szCs w:val="20"/>
        </w:rPr>
        <w:t xml:space="preserve">Host cell protein (HCP): ≤5 ppm</w:t>
      </w:r>
    </w:p>
    <w:p>
      <w:pPr>
        <w:pStyle w:val="ListParagraph"/>
        <w:numPr>
          <w:ilvl w:val="0"/>
          <w:numId w:val="2"/>
        </w:numPr>
        <w:spacing w:before="40" w:after="40" w:line="276"/>
      </w:pPr>
      <w:r>
        <w:rPr>
          <w:rFonts w:ascii="Arial" w:cs="Arial" w:eastAsia="Arial" w:hAnsi="Arial"/>
          <w:color w:val="1A1A1A"/>
          <w:sz w:val="20"/>
          <w:szCs w:val="20"/>
        </w:rPr>
        <w:t xml:space="preserve">Residual protein A: ≤2 ppm</w:t>
      </w:r>
    </w:p>
    <w:p>
      <w:pPr>
        <w:pStyle w:val="ListParagraph"/>
        <w:numPr>
          <w:ilvl w:val="0"/>
          <w:numId w:val="2"/>
        </w:numPr>
        <w:spacing w:before="40" w:after="40" w:line="276"/>
      </w:pPr>
      <w:r>
        <w:rPr>
          <w:rFonts w:ascii="Arial" w:cs="Arial" w:eastAsia="Arial" w:hAnsi="Arial"/>
          <w:color w:val="1A1A1A"/>
          <w:sz w:val="20"/>
          <w:szCs w:val="20"/>
        </w:rPr>
        <w:t xml:space="preserve">Container closure: Stainless steel biocontainer; DS stability demonstrated at -70°C ≥36 months</w:t>
      </w:r>
    </w:p>
    <w:p>
      <w:pPr>
        <w:pStyle w:val="Heading2"/>
        <w:spacing w:before="240" w:after="80"/>
      </w:pPr>
      <w:r>
        <w:rPr>
          <w:rFonts w:ascii="Arial" w:cs="Arial" w:eastAsia="Arial" w:hAnsi="Arial"/>
          <w:b/>
          <w:bCs/>
          <w:color w:val="4A6FA5"/>
          <w:sz w:val="22"/>
          <w:szCs w:val="22"/>
        </w:rPr>
        <w:t xml:space="preserve">4.2 Drug Product</w:t>
      </w:r>
    </w:p>
    <w:p>
      <w:pPr>
        <w:spacing w:before="80" w:after="80" w:line="280"/>
        <w:jc w:val="left"/>
      </w:pPr>
      <w:r>
        <w:rPr>
          <w:rFonts w:ascii="Arial" w:cs="Arial" w:eastAsia="Arial" w:hAnsi="Arial"/>
          <w:color w:val="1A1A1A"/>
          <w:sz w:val="20"/>
          <w:szCs w:val="20"/>
        </w:rPr>
        <w:t xml:space="preserve">CERVIMAB drug product (DP) is formulated at 10 mg/mL in 25 mM histidine, 150 mM NaCl, 0.02% polysorbate 80, pH 5.8. The DP is filled into 30 mL Type I borosilicate glass vials (50 mg/5 mL per vial). DP stability has been established for 24 months at 2–8°C; an in-use stability of 6 hours at room temperature and 24 hours at 2–8°C post-dilution (0.9% NaCl) has been demonstrated.</w:t>
      </w:r>
    </w:p>
    <w:p>
      <w:pPr>
        <w:pStyle w:val="Heading2"/>
        <w:spacing w:before="240" w:after="80"/>
      </w:pPr>
      <w:r>
        <w:rPr>
          <w:rFonts w:ascii="Arial" w:cs="Arial" w:eastAsia="Arial" w:hAnsi="Arial"/>
          <w:b/>
          <w:bCs/>
          <w:color w:val="4A6FA5"/>
          <w:sz w:val="22"/>
          <w:szCs w:val="22"/>
        </w:rPr>
        <w:t xml:space="preserve">4.3 Process Change and Comparability</w:t>
      </w:r>
    </w:p>
    <w:p>
      <w:pPr>
        <w:spacing w:before="80" w:after="80" w:line="280"/>
        <w:jc w:val="left"/>
      </w:pPr>
      <w:r>
        <w:rPr>
          <w:rFonts w:ascii="Arial" w:cs="Arial" w:eastAsia="Arial" w:hAnsi="Arial"/>
          <w:color w:val="1A1A1A"/>
          <w:sz w:val="20"/>
          <w:szCs w:val="20"/>
        </w:rPr>
        <w:t xml:space="preserve">A scale-up manufacturing change was implemented between Phase 1 (200-L) and proposed Phase 2 (2,000-L) production. Comprehensive analytical comparability testing was performed per ICH Q5E, demonstrating equivalence in CQAs including glycan profile, charge variant distribution, potency, and binding kinetics. PK bridging data in cynomolgus monkeys (N=6/group) confirmed comparable exposure profiles (geometric mean Cmax ratio: 1.04; AUC ratio: 1.06; 90% CIs within 80–125% bounds).</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5. PROPOSED PHASE 2 STRATEGY</w:t>
      </w:r>
    </w:p>
    <w:p>
      <w:pPr>
        <w:pStyle w:val="Heading2"/>
        <w:spacing w:before="240" w:after="80"/>
      </w:pPr>
      <w:r>
        <w:rPr>
          <w:rFonts w:ascii="Arial" w:cs="Arial" w:eastAsia="Arial" w:hAnsi="Arial"/>
          <w:b/>
          <w:bCs/>
          <w:color w:val="4A6FA5"/>
          <w:sz w:val="22"/>
          <w:szCs w:val="22"/>
        </w:rPr>
        <w:t xml:space="preserve">5.1 Rationale for Advancing to Phase 2</w:t>
      </w:r>
    </w:p>
    <w:p>
      <w:pPr>
        <w:spacing w:before="80" w:after="80" w:line="280"/>
        <w:jc w:val="left"/>
      </w:pPr>
      <w:r>
        <w:rPr>
          <w:rFonts w:ascii="Arial" w:cs="Arial" w:eastAsia="Arial" w:hAnsi="Arial"/>
          <w:color w:val="1A1A1A"/>
          <w:sz w:val="20"/>
          <w:szCs w:val="20"/>
        </w:rPr>
        <w:t xml:space="preserve">The Sponsor believes the totality of Phase 1 evidence strongly supports Phase 2 advancement:</w:t>
      </w:r>
    </w:p>
    <w:p>
      <w:pPr>
        <w:pStyle w:val="ListParagraph"/>
        <w:numPr>
          <w:ilvl w:val="0"/>
          <w:numId w:val="2"/>
        </w:numPr>
        <w:spacing w:before="40" w:after="40" w:line="276"/>
      </w:pPr>
      <w:r>
        <w:rPr>
          <w:rFonts w:ascii="Arial" w:cs="Arial" w:eastAsia="Arial" w:hAnsi="Arial"/>
          <w:color w:val="1A1A1A"/>
          <w:sz w:val="20"/>
          <w:szCs w:val="20"/>
        </w:rPr>
        <w:t xml:space="preserve">Clinically meaningful and durable ORR of 43.1% in a patient population with unmet need and no current approved second-line immunotherapy standard of care</w:t>
      </w:r>
    </w:p>
    <w:p>
      <w:pPr>
        <w:pStyle w:val="ListParagraph"/>
        <w:numPr>
          <w:ilvl w:val="0"/>
          <w:numId w:val="2"/>
        </w:numPr>
        <w:spacing w:before="40" w:after="40" w:line="276"/>
      </w:pPr>
      <w:r>
        <w:rPr>
          <w:rFonts w:ascii="Arial" w:cs="Arial" w:eastAsia="Arial" w:hAnsi="Arial"/>
          <w:color w:val="1A1A1A"/>
          <w:sz w:val="20"/>
          <w:szCs w:val="20"/>
        </w:rPr>
        <w:t xml:space="preserve">Favorable safety profile: Grade ≥3 TRAE rate of 23.1%, no treatment-related deaths, treatment discontinuation rate of 6.2%</w:t>
      </w:r>
    </w:p>
    <w:p>
      <w:pPr>
        <w:pStyle w:val="ListParagraph"/>
        <w:numPr>
          <w:ilvl w:val="0"/>
          <w:numId w:val="2"/>
        </w:numPr>
        <w:spacing w:before="40" w:after="40" w:line="276"/>
      </w:pPr>
      <w:r>
        <w:rPr>
          <w:rFonts w:ascii="Arial" w:cs="Arial" w:eastAsia="Arial" w:hAnsi="Arial"/>
          <w:color w:val="1A1A1A"/>
          <w:sz w:val="20"/>
          <w:szCs w:val="20"/>
        </w:rPr>
        <w:t xml:space="preserve">Near-complete, sustained PD-1 receptor occupancy at RP2D, providing mechanistic confidence in dose selection</w:t>
      </w:r>
    </w:p>
    <w:p>
      <w:pPr>
        <w:pStyle w:val="ListParagraph"/>
        <w:numPr>
          <w:ilvl w:val="0"/>
          <w:numId w:val="2"/>
        </w:numPr>
        <w:spacing w:before="40" w:after="40" w:line="276"/>
      </w:pPr>
      <w:r>
        <w:rPr>
          <w:rFonts w:ascii="Arial" w:cs="Arial" w:eastAsia="Arial" w:hAnsi="Arial"/>
          <w:color w:val="1A1A1A"/>
          <w:sz w:val="20"/>
          <w:szCs w:val="20"/>
        </w:rPr>
        <w:t xml:space="preserve">Emerging OS signal (12-month OS rate of 68.2%) with median OS not yet reached</w:t>
      </w:r>
    </w:p>
    <w:p>
      <w:pPr>
        <w:pStyle w:val="ListParagraph"/>
        <w:numPr>
          <w:ilvl w:val="0"/>
          <w:numId w:val="2"/>
        </w:numPr>
        <w:spacing w:before="40" w:after="40" w:line="276"/>
      </w:pPr>
      <w:r>
        <w:rPr>
          <w:rFonts w:ascii="Arial" w:cs="Arial" w:eastAsia="Arial" w:hAnsi="Arial"/>
          <w:color w:val="1A1A1A"/>
          <w:sz w:val="20"/>
          <w:szCs w:val="20"/>
        </w:rPr>
        <w:t xml:space="preserve">Durable responses with 79% of responders still in response at 12 months</w:t>
      </w:r>
    </w:p>
    <w:p>
      <w:pPr>
        <w:pStyle w:val="Heading2"/>
        <w:spacing w:before="240" w:after="80"/>
      </w:pPr>
      <w:r>
        <w:rPr>
          <w:rFonts w:ascii="Arial" w:cs="Arial" w:eastAsia="Arial" w:hAnsi="Arial"/>
          <w:b/>
          <w:bCs/>
          <w:color w:val="4A6FA5"/>
          <w:sz w:val="22"/>
          <w:szCs w:val="22"/>
        </w:rPr>
        <w:t xml:space="preserve">5.2 Proposed Phase 2 Design Overview</w:t>
      </w:r>
    </w:p>
    <w:p>
      <w:pPr>
        <w:spacing w:before="80" w:after="80" w:line="280"/>
        <w:jc w:val="left"/>
      </w:pPr>
      <w:r>
        <w:rPr>
          <w:rFonts w:ascii="Arial" w:cs="Arial" w:eastAsia="Arial" w:hAnsi="Arial"/>
          <w:color w:val="1A1A1A"/>
          <w:sz w:val="20"/>
          <w:szCs w:val="20"/>
        </w:rPr>
        <w:t xml:space="preserve">The proposed Phase 2 trial (CERVIMAB-CRC-002) is described in detail in Appendix C (Phase 2 Protocol Synopsis). Key design elements: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Design Element</w:t>
            </w:r>
          </w:p>
        </w:tc>
        <w:tc>
          <w:tcPr>
            <w:tcW w:type="dxa" w:w="652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Details</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Study Design</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Randomized, open-label, multicenter Phase 2 trial</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Population</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dMMR/MSI-H mCRC, 2nd line (1 prior oxaliplatin-based regimen), ECOG PS 0–1</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Arms</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Arm A: CERVIMAB 400 mg IV Q3W | Arm B: FOLFIRI ± bevacizumab</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Randomization</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1:1; stratified by prior bevacizumab use and geographic region</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Sample Size</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~200 patients (100 per arm)</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Primary Endpoint</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PFS per RECIST v1.1 by BICR (Accelerated Approval basis)</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Key Secondary Endpoints</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OS, ORR, DoR, DCR, safety/tolerability, PROs (EORTC QLQ-C30)</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Confirmatory Endpoint</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OS in subsequent Phase 3 to verify clinical benefit post-AA</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Biomarker Stratification</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dMMR/MSI-H confirmed by central CDx (VENTANA MMR RxDx or FoundationOne CDx)</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Trial Duration</w:t>
            </w:r>
          </w:p>
        </w:tc>
        <w:tc>
          <w:tcPr>
            <w:tcW w:type="dxa" w:w="6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Enrollment: ~18 months; Primary analysis: ~30 months from first patient in</w:t>
            </w:r>
          </w:p>
        </w:tc>
      </w:tr>
    </w:tbl>
    <w:p>
      <w:pPr>
        <w:spacing w:before="0" w:after="80"/>
      </w:pPr>
      <w:r>
        <w:t xml:space="preserve"/>
      </w:r>
    </w:p>
    <w:p>
      <w:pPr>
        <w:pStyle w:val="Heading2"/>
        <w:spacing w:before="240" w:after="80"/>
      </w:pPr>
      <w:r>
        <w:rPr>
          <w:rFonts w:ascii="Arial" w:cs="Arial" w:eastAsia="Arial" w:hAnsi="Arial"/>
          <w:b/>
          <w:bCs/>
          <w:color w:val="4A6FA5"/>
          <w:sz w:val="22"/>
          <w:szCs w:val="22"/>
        </w:rPr>
        <w:t xml:space="preserve">5.3 Statistical Considerations</w:t>
      </w:r>
    </w:p>
    <w:p>
      <w:pPr>
        <w:spacing w:before="80" w:after="80" w:line="280"/>
        <w:jc w:val="left"/>
      </w:pPr>
      <w:r>
        <w:rPr>
          <w:rFonts w:ascii="Arial" w:cs="Arial" w:eastAsia="Arial" w:hAnsi="Arial"/>
          <w:color w:val="1A1A1A"/>
          <w:sz w:val="20"/>
          <w:szCs w:val="20"/>
        </w:rPr>
        <w:t xml:space="preserve">The primary analysis will compare PFS between treatment arms using a stratified log-rank test (alpha = 0.05, two-sided). The study is powered at 90% to detect a hazard ratio of 0.55 (corresponding to an improvement in median PFS from approximately 4.5 months on SOC to approximately 8.2 months on CERVIMAB). Based on KEYNOTE-177 and available real-world data for FOLFIRI in dMMR/MSI-H mCRC patients who progressed on first-line therapy, the assumed control arm PFS is conservative.</w:t>
      </w:r>
    </w:p>
    <w:p>
      <w:pPr>
        <w:spacing w:before="0" w:after="60"/>
      </w:pPr>
      <w:r>
        <w:t xml:space="preserve"/>
      </w:r>
    </w:p>
    <w:p>
      <w:pPr>
        <w:spacing w:before="80" w:after="80" w:line="280"/>
        <w:jc w:val="left"/>
      </w:pPr>
      <w:r>
        <w:rPr>
          <w:rFonts w:ascii="Arial" w:cs="Arial" w:eastAsia="Arial" w:hAnsi="Arial"/>
          <w:color w:val="1A1A1A"/>
          <w:sz w:val="20"/>
          <w:szCs w:val="20"/>
        </w:rPr>
        <w:t xml:space="preserve">An interim analysis for futility is planned when approximately 50% of PFS events have occurred (O'Brien-Fleming boundaries). No interim analysis for superiority is planned given the Phase 2 confirmatory intent; OS data will be collected through the end of the study as a key secondary endpoint and to power the Phase 3 confirmatory trial OS analysis.</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6. REGULATORY PATHWAY DISCUSSION</w:t>
      </w:r>
    </w:p>
    <w:p>
      <w:pPr>
        <w:pStyle w:val="Heading2"/>
        <w:spacing w:before="240" w:after="80"/>
      </w:pPr>
      <w:r>
        <w:rPr>
          <w:rFonts w:ascii="Arial" w:cs="Arial" w:eastAsia="Arial" w:hAnsi="Arial"/>
          <w:b/>
          <w:bCs/>
          <w:color w:val="4A6FA5"/>
          <w:sz w:val="22"/>
          <w:szCs w:val="22"/>
        </w:rPr>
        <w:t xml:space="preserve">6.1 Accelerated Approval</w:t>
      </w:r>
    </w:p>
    <w:p>
      <w:pPr>
        <w:spacing w:before="80" w:after="80" w:line="280"/>
        <w:jc w:val="left"/>
      </w:pPr>
      <w:r>
        <w:rPr>
          <w:rFonts w:ascii="Arial" w:cs="Arial" w:eastAsia="Arial" w:hAnsi="Arial"/>
          <w:color w:val="1A1A1A"/>
          <w:sz w:val="20"/>
          <w:szCs w:val="20"/>
        </w:rPr>
        <w:t xml:space="preserve">The Sponsor believes CERVIMAB is eligible for Accelerated Approval under 21 CFR 601.41, based on PFS as a reasonably likely surrogate endpoint. Precedent exists within dMMR/MSI-H solid tumors (pembrolizumab initial approval in this indication under Accelerated Approval based on ORR/DoR). The proposed Phase 2 is specifically designed to generate the confirmatory evidence required, with OS as the primary endpoint of the planned confirmatory Phase 3.</w:t>
      </w:r>
    </w:p>
    <w:p>
      <w:pPr>
        <w:pStyle w:val="Heading2"/>
        <w:spacing w:before="240" w:after="80"/>
      </w:pPr>
      <w:r>
        <w:rPr>
          <w:rFonts w:ascii="Arial" w:cs="Arial" w:eastAsia="Arial" w:hAnsi="Arial"/>
          <w:b/>
          <w:bCs/>
          <w:color w:val="4A6FA5"/>
          <w:sz w:val="22"/>
          <w:szCs w:val="22"/>
        </w:rPr>
        <w:t xml:space="preserve">6.2 Breakthrough Therapy Designation</w:t>
      </w:r>
    </w:p>
    <w:p>
      <w:pPr>
        <w:spacing w:before="80" w:after="80" w:line="280"/>
        <w:jc w:val="left"/>
      </w:pPr>
      <w:r>
        <w:rPr>
          <w:rFonts w:ascii="Arial" w:cs="Arial" w:eastAsia="Arial" w:hAnsi="Arial"/>
          <w:color w:val="1A1A1A"/>
          <w:sz w:val="20"/>
          <w:szCs w:val="20"/>
        </w:rPr>
        <w:t xml:space="preserve">Based on the Phase 1 ORR of 43.1% with 79% ongoing response at 12 months in dMMR/MSI-H mCRC patients who received at least one prior line of therapy, and given the absence of approved immunotherapy options specifically in the second-line setting following progression on first-line checkpoint inhibitor in BTD-naïve patients (note: CERVIMAB targets a patient population without prior anti-PD-1 therapy), the Sponsor will submit a formal BTD request contemporaneously with this IND amendment. FDA feedback at the EOP1 meeting on the evidentiary basis for BTD would be welcomed.</w:t>
      </w:r>
    </w:p>
    <w:p>
      <w:pPr>
        <w:pStyle w:val="Heading2"/>
        <w:spacing w:before="240" w:after="80"/>
      </w:pPr>
      <w:r>
        <w:rPr>
          <w:rFonts w:ascii="Arial" w:cs="Arial" w:eastAsia="Arial" w:hAnsi="Arial"/>
          <w:b/>
          <w:bCs/>
          <w:color w:val="4A6FA5"/>
          <w:sz w:val="22"/>
          <w:szCs w:val="22"/>
        </w:rPr>
        <w:t xml:space="preserve">6.3 Special Protocol Assessment</w:t>
      </w:r>
    </w:p>
    <w:p>
      <w:pPr>
        <w:spacing w:before="80" w:after="80" w:line="280"/>
        <w:jc w:val="left"/>
      </w:pPr>
      <w:r>
        <w:rPr>
          <w:rFonts w:ascii="Arial" w:cs="Arial" w:eastAsia="Arial" w:hAnsi="Arial"/>
          <w:color w:val="1A1A1A"/>
          <w:sz w:val="20"/>
          <w:szCs w:val="20"/>
        </w:rPr>
        <w:t xml:space="preserve">The Sponsor is interested in pursuing a Special Protocol Assessment (SPA) for the Phase 2 protocol. Given that CERVIMAB-CRC-002 is designed both as a pivotal trial for Accelerated Approval and to generate key operational data informing Phase 3, alignment with FDA on the protocol under an SPA would provide important regulatory certainty. The Sponsor requests FDA's view on SPA eligibility and timing.</w:t>
      </w:r>
    </w:p>
    <w:p>
      <w:pPr>
        <w:spacing w:before="0" w:after="200"/>
      </w:pPr>
      <w:r>
        <w:t xml:space="preserve"/>
      </w:r>
    </w:p>
    <w:p>
      <w:pPr>
        <w:pBdr>
          <w:top w:val="single" w:color="D0D7E3" w:sz="4" w:space="4"/>
        </w:pBdr>
        <w:spacing w:before="200" w:after="40"/>
      </w:pPr>
      <w:r>
        <w:rPr>
          <w:rFonts w:ascii="Arial" w:cs="Arial" w:eastAsia="Arial" w:hAnsi="Arial"/>
          <w:b/>
          <w:bCs/>
          <w:color w:val="555555"/>
          <w:sz w:val="18"/>
          <w:szCs w:val="18"/>
        </w:rPr>
        <w:t xml:space="preserve">END OF BRIEFING DOCUMENT — Appendices A through G submitted under separate cover</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4"/>
      </w:pBdr>
      <w:tabs>
        <w:tab w:val="right" w:pos="9720"/>
      </w:tabs>
    </w:pPr>
    <w:r>
      <w:rPr>
        <w:rFonts w:ascii="Arial" w:cs="Arial" w:eastAsia="Arial" w:hAnsi="Arial"/>
        <w:color w:val="555555"/>
        <w:sz w:val="16"/>
        <w:szCs w:val="16"/>
      </w:rPr>
      <w:t xml:space="preserve">OncoBioLogics, Inc.  |  CERVIMAB Briefing Document</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500"/>
      <w:gridCol w:w="3220"/>
    </w:tblGrid>
    <w:tr>
      <w:tc>
        <w:tcPr>
          <w:tcW w:type="dxa" w:w="6500"/>
          <w:tcBorders>
            <w:top w:val="none"/>
            <w:left w:val="none"/>
            <w:bottom w:val="single" w:color="1B3A6B" w:sz="6"/>
            <w:right w:val="none"/>
          </w:tcBorders>
          <w:tcMar>
            <w:top w:type="dxa" w:w="60"/>
            <w:left w:type="dxa" w:w="0"/>
            <w:bottom w:type="dxa" w:w="60"/>
            <w:right w:type="dxa" w:w="120"/>
          </w:tcMar>
        </w:tcPr>
        <w:p>
          <w:r>
            <w:rPr>
              <w:rFonts w:ascii="Arial" w:cs="Arial" w:eastAsia="Arial" w:hAnsi="Arial"/>
              <w:b/>
              <w:bCs/>
              <w:color w:val="1B3A6B"/>
              <w:sz w:val="16"/>
              <w:szCs w:val="16"/>
            </w:rPr>
            <w:t xml:space="preserve">CERVIMAB  |  IND 123456  |  EOP1 Briefing Document  |  March 2026</w:t>
          </w:r>
        </w:p>
      </w:tc>
      <w:tc>
        <w:tcPr>
          <w:tcW w:type="dxa" w:w="3220"/>
          <w:tcBorders>
            <w:top w:val="none"/>
            <w:left w:val="none"/>
            <w:bottom w:val="single" w:color="1B3A6B" w:sz="6"/>
            <w:right w:val="none"/>
          </w:tcBorders>
          <w:tcMar>
            <w:top w:type="dxa" w:w="60"/>
            <w:left w:type="dxa" w:w="120"/>
            <w:bottom w:type="dxa" w:w="60"/>
            <w:right w:type="dxa" w:w="0"/>
          </w:tcMar>
        </w:tcPr>
        <w:p>
          <w:pPr>
            <w:jc w:val="right"/>
          </w:pPr>
          <w:r>
            <w:rPr>
              <w:rFonts w:ascii="Arial" w:cs="Arial" w:eastAsia="Arial" w:hAnsi="Arial"/>
              <w:b/>
              <w:bCs/>
              <w:color w:val="C0392B"/>
              <w:sz w:val="16"/>
              <w:szCs w:val="16"/>
            </w:rPr>
            <w:t xml:space="preserve">CONFIDENTIAL — FDA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4A6FA5"/>
      <w:sz w:val="22"/>
      <w:szCs w:val="22"/>
    </w:rPr>
  </w:style>
  <w:style w:type="paragraph" w:styleId="Heading3">
    <w:name w:val="Heading 3"/>
    <w:basedOn w:val="Normal"/>
    <w:next w:val="Normal"/>
    <w:qFormat/>
    <w:pPr>
      <w:spacing w:before="160" w:after="60"/>
      <w:outlineLvl w:val="2"/>
    </w:pPr>
    <w:rPr>
      <w:rFonts w:ascii="Arial" w:cs="Arial" w:eastAsia="Arial" w:hAnsi="Arial"/>
      <w:b/>
      <w:b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2026-03-16T13:46:57.565Z</dcterms:created>
  <dcterms:modified xsi:type="dcterms:W3CDTF">2026-03-16T13:46:57.565Z</dcterms:modified>
</cp:coreProperties>
</file>

<file path=docProps/custom.xml><?xml version="1.0" encoding="utf-8"?>
<Properties xmlns="http://schemas.openxmlformats.org/officeDocument/2006/custom-properties" xmlns:vt="http://schemas.openxmlformats.org/officeDocument/2006/docPropsVTypes"/>
</file>