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80"/>
        <w:jc w:val="center"/>
      </w:pPr>
      <w:r>
        <w:rPr>
          <w:rFonts w:ascii="Arial" w:cs="Arial" w:eastAsia="Arial" w:hAnsi="Arial"/>
          <w:b/>
          <w:bCs/>
          <w:color w:val="555555"/>
          <w:sz w:val="20"/>
          <w:szCs w:val="20"/>
        </w:rPr>
        <w:t xml:space="preserve">UNITED STATES FOOD AND DRUG ADMINISTRATION</w:t>
      </w:r>
    </w:p>
    <w:p>
      <w:pPr>
        <w:spacing w:before="0" w:after="80"/>
        <w:jc w:val="center"/>
      </w:pPr>
      <w:r>
        <w:rPr>
          <w:rFonts w:ascii="Arial" w:cs="Arial" w:eastAsia="Arial" w:hAnsi="Arial"/>
          <w:b w:val="false"/>
          <w:bCs w:val="false"/>
          <w:color w:val="555555"/>
          <w:sz w:val="20"/>
          <w:szCs w:val="20"/>
        </w:rPr>
        <w:t xml:space="preserve">Center for Drug Evaluation and Research (CDER)</w:t>
      </w:r>
    </w:p>
    <w:p>
      <w:pPr>
        <w:spacing w:before="0" w:after="80"/>
        <w:jc w:val="center"/>
      </w:pPr>
      <w:r>
        <w:rPr>
          <w:rFonts w:ascii="Arial" w:cs="Arial" w:eastAsia="Arial" w:hAnsi="Arial"/>
          <w:b w:val="false"/>
          <w:bCs w:val="false"/>
          <w:color w:val="555555"/>
          <w:sz w:val="20"/>
          <w:szCs w:val="20"/>
        </w:rPr>
        <w:t xml:space="preserve">Oncology Center of Excellence | Division of Oncology Products 2</w:t>
      </w:r>
    </w:p>
    <w:p>
      <w:pPr>
        <w:spacing w:before="0" w:after="32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9720"/>
      </w:tblGrid>
      <w:tr>
        <w:tc>
          <w:tcPr>
            <w:tcW w:type="dxa" w:w="9720"/>
            <w:tcBorders>
              <w:top w:val="single" w:color="1B3A6B" w:sz="1"/>
              <w:left w:val="single" w:color="1B3A6B" w:sz="1"/>
              <w:bottom w:val="single" w:color="1B3A6B" w:sz="1"/>
              <w:right w:val="single" w:color="1B3A6B" w:sz="1"/>
            </w:tcBorders>
            <w:shd w:fill="1B3A6B" w:val="clear"/>
            <w:tcMar>
              <w:top w:type="dxa" w:w="160"/>
              <w:left w:type="dxa" w:w="200"/>
              <w:bottom w:type="dxa" w:w="160"/>
              <w:right w:type="dxa" w:w="200"/>
            </w:tcMar>
          </w:tcPr>
          <w:p>
            <w:pPr>
              <w:jc w:val="center"/>
            </w:pPr>
            <w:r>
              <w:rPr>
                <w:rFonts w:ascii="Arial" w:cs="Arial" w:eastAsia="Arial" w:hAnsi="Arial"/>
                <w:b/>
                <w:bCs/>
                <w:color w:val="FFFFFF"/>
                <w:sz w:val="32"/>
                <w:szCs w:val="32"/>
              </w:rPr>
              <w:t xml:space="preserve">TYPE B MEETING REQUEST</w:t>
            </w:r>
          </w:p>
        </w:tc>
      </w:tr>
      <w:tr>
        <w:tc>
          <w:tcPr>
            <w:tcW w:type="dxa" w:w="9720"/>
            <w:tcBorders>
              <w:top w:val="single" w:color="1B3A6B" w:sz="1"/>
              <w:left w:val="single" w:color="1B3A6B" w:sz="1"/>
              <w:bottom w:val="single" w:color="1B3A6B" w:sz="1"/>
              <w:right w:val="single" w:color="1B3A6B" w:sz="1"/>
            </w:tcBorders>
            <w:shd w:fill="4A6FA5" w:val="clear"/>
            <w:tcMar>
              <w:top w:type="dxa" w:w="160"/>
              <w:left w:type="dxa" w:w="200"/>
              <w:bottom w:type="dxa" w:w="160"/>
              <w:right w:type="dxa" w:w="200"/>
            </w:tcMar>
          </w:tcPr>
          <w:p>
            <w:pPr>
              <w:jc w:val="center"/>
            </w:pPr>
            <w:r>
              <w:rPr>
                <w:rFonts w:ascii="Arial" w:cs="Arial" w:eastAsia="Arial" w:hAnsi="Arial"/>
                <w:b/>
                <w:bCs/>
                <w:color w:val="FFFFFF"/>
                <w:sz w:val="26"/>
                <w:szCs w:val="26"/>
              </w:rPr>
              <w:t xml:space="preserve">End-of-Phase 1 (EOP1) Meeting</w:t>
            </w:r>
          </w:p>
        </w:tc>
      </w:tr>
      <w:tr>
        <w:tc>
          <w:tcPr>
            <w:tcW w:type="dxa" w:w="9720"/>
            <w:tcBorders>
              <w:top w:val="single" w:color="1B3A6B" w:sz="1"/>
              <w:left w:val="single" w:color="1B3A6B" w:sz="1"/>
              <w:bottom w:val="single" w:color="1B3A6B" w:sz="1"/>
              <w:right w:val="single" w:color="1B3A6B" w:sz="1"/>
            </w:tcBorders>
            <w:shd w:fill="FFFFFF" w:val="clear"/>
            <w:tcMar>
              <w:top w:type="dxa" w:w="160"/>
              <w:left w:type="dxa" w:w="200"/>
              <w:bottom w:type="dxa" w:w="160"/>
              <w:right w:type="dxa" w:w="200"/>
            </w:tcMar>
          </w:tcPr>
          <w:p>
            <w:pPr>
              <w:jc w:val="center"/>
            </w:pPr>
            <w:r>
              <w:rPr>
                <w:rFonts w:ascii="Arial" w:cs="Arial" w:eastAsia="Arial" w:hAnsi="Arial"/>
                <w:b w:val="false"/>
                <w:bCs w:val="false"/>
                <w:color w:val="1A1A1A"/>
                <w:sz w:val="20"/>
                <w:szCs w:val="20"/>
              </w:rPr>
              <w:t xml:space="preserve"/>
            </w:r>
          </w:p>
        </w:tc>
      </w:tr>
      <w:tr>
        <w:tc>
          <w:tcPr>
            <w:tcW w:type="dxa" w:w="9720"/>
            <w:tcBorders>
              <w:top w:val="single" w:color="1B3A6B" w:sz="1"/>
              <w:left w:val="single" w:color="1B3A6B" w:sz="1"/>
              <w:bottom w:val="single" w:color="1B3A6B" w:sz="1"/>
              <w:right w:val="single" w:color="1B3A6B" w:sz="1"/>
            </w:tcBorders>
            <w:shd w:fill="F2F4F8" w:val="clear"/>
            <w:tcMar>
              <w:top w:type="dxa" w:w="160"/>
              <w:left w:type="dxa" w:w="200"/>
              <w:bottom w:type="dxa" w:w="160"/>
              <w:right w:type="dxa" w:w="200"/>
            </w:tcMar>
          </w:tcPr>
          <w:p>
            <w:pPr>
              <w:jc w:val="center"/>
            </w:pPr>
            <w:r>
              <w:rPr>
                <w:rFonts w:ascii="Arial" w:cs="Arial" w:eastAsia="Arial" w:hAnsi="Arial"/>
                <w:b/>
                <w:bCs/>
                <w:color w:val="1B3A6B"/>
                <w:sz w:val="22"/>
                <w:szCs w:val="22"/>
              </w:rPr>
              <w:t xml:space="preserve">IND 123456</w:t>
            </w:r>
          </w:p>
        </w:tc>
      </w:tr>
      <w:tr>
        <w:tc>
          <w:tcPr>
            <w:tcW w:type="dxa" w:w="9720"/>
            <w:tcBorders>
              <w:top w:val="single" w:color="1B3A6B" w:sz="1"/>
              <w:left w:val="single" w:color="1B3A6B" w:sz="1"/>
              <w:bottom w:val="single" w:color="1B3A6B" w:sz="1"/>
              <w:right w:val="single" w:color="1B3A6B" w:sz="1"/>
            </w:tcBorders>
            <w:shd w:fill="F2F4F8" w:val="clear"/>
            <w:tcMar>
              <w:top w:type="dxa" w:w="160"/>
              <w:left w:type="dxa" w:w="200"/>
              <w:bottom w:type="dxa" w:w="160"/>
              <w:right w:type="dxa" w:w="200"/>
            </w:tcMar>
          </w:tcPr>
          <w:p>
            <w:pPr>
              <w:jc w:val="center"/>
            </w:pPr>
            <w:r>
              <w:rPr>
                <w:rFonts w:ascii="Arial" w:cs="Arial" w:eastAsia="Arial" w:hAnsi="Arial"/>
                <w:b/>
                <w:bCs/>
                <w:color w:val="1A1A1A"/>
                <w:sz w:val="20"/>
                <w:szCs w:val="20"/>
              </w:rPr>
              <w:t xml:space="preserve">CERVIMAB (anti-PD-1 monoclonal antibody)</w:t>
            </w:r>
          </w:p>
        </w:tc>
      </w:tr>
      <w:tr>
        <w:tc>
          <w:tcPr>
            <w:tcW w:type="dxa" w:w="9720"/>
            <w:tcBorders>
              <w:top w:val="single" w:color="1B3A6B" w:sz="1"/>
              <w:left w:val="single" w:color="1B3A6B" w:sz="1"/>
              <w:bottom w:val="single" w:color="1B3A6B" w:sz="1"/>
              <w:right w:val="single" w:color="1B3A6B" w:sz="1"/>
            </w:tcBorders>
            <w:shd w:fill="F2F4F8" w:val="clear"/>
            <w:tcMar>
              <w:top w:type="dxa" w:w="160"/>
              <w:left w:type="dxa" w:w="200"/>
              <w:bottom w:type="dxa" w:w="160"/>
              <w:right w:type="dxa" w:w="200"/>
            </w:tcMar>
          </w:tcPr>
          <w:p>
            <w:pPr>
              <w:jc w:val="center"/>
            </w:pPr>
            <w:r>
              <w:rPr>
                <w:rFonts w:ascii="Arial" w:cs="Arial" w:eastAsia="Arial" w:hAnsi="Arial"/>
                <w:b w:val="false"/>
                <w:bCs w:val="false"/>
                <w:color w:val="1A1A1A"/>
                <w:sz w:val="20"/>
                <w:szCs w:val="20"/>
              </w:rPr>
              <w:t xml:space="preserve">dMMR/MSI-H Metastatic Colorectal Cancer (mCRC)</w:t>
            </w:r>
          </w:p>
        </w:tc>
      </w:tr>
    </w:tbl>
    <w:p>
      <w:pPr>
        <w:spacing w:before="0" w:after="24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400"/>
        <w:gridCol w:w="7320"/>
      </w:tblGrid>
      <w:tr>
        <w:tc>
          <w:tcPr>
            <w:tcW w:type="dxa" w:w="2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Sponsor:</w:t>
            </w:r>
          </w:p>
        </w:tc>
        <w:tc>
          <w:tcPr>
            <w:tcW w:type="dxa" w:w="7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OncoBioLogics, Inc.</w:t>
            </w:r>
          </w:p>
        </w:tc>
      </w:tr>
      <w:tr>
        <w:tc>
          <w:tcPr>
            <w:tcW w:type="dxa" w:w="2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Contact:</w:t>
            </w:r>
          </w:p>
        </w:tc>
        <w:tc>
          <w:tcPr>
            <w:tcW w:type="dxa" w:w="7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Jane M. Porter, PhD, VP Regulatory Affairs</w:t>
            </w:r>
          </w:p>
        </w:tc>
      </w:tr>
      <w:tr>
        <w:tc>
          <w:tcPr>
            <w:tcW w:type="dxa" w:w="2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Address:</w:t>
            </w:r>
          </w:p>
        </w:tc>
        <w:tc>
          <w:tcPr>
            <w:tcW w:type="dxa" w:w="7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123 Innovation Drive, Cambridge, MA 02139</w:t>
            </w:r>
          </w:p>
        </w:tc>
      </w:tr>
      <w:tr>
        <w:tc>
          <w:tcPr>
            <w:tcW w:type="dxa" w:w="2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Phone:</w:t>
            </w:r>
          </w:p>
        </w:tc>
        <w:tc>
          <w:tcPr>
            <w:tcW w:type="dxa" w:w="7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(617) 555-0100  |  Email: jporter@oncobiologics.com</w:t>
            </w:r>
          </w:p>
        </w:tc>
      </w:tr>
      <w:tr>
        <w:tc>
          <w:tcPr>
            <w:tcW w:type="dxa" w:w="2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IND Number:</w:t>
            </w:r>
          </w:p>
        </w:tc>
        <w:tc>
          <w:tcPr>
            <w:tcW w:type="dxa" w:w="7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123456</w:t>
            </w:r>
          </w:p>
        </w:tc>
      </w:tr>
      <w:tr>
        <w:tc>
          <w:tcPr>
            <w:tcW w:type="dxa" w:w="2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Date of Submission:</w:t>
            </w:r>
          </w:p>
        </w:tc>
        <w:tc>
          <w:tcPr>
            <w:tcW w:type="dxa" w:w="7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March 16, 2026</w:t>
            </w:r>
          </w:p>
        </w:tc>
      </w:tr>
      <w:tr>
        <w:tc>
          <w:tcPr>
            <w:tcW w:type="dxa" w:w="2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Proposed Meeting Date:</w:t>
            </w:r>
          </w:p>
        </w:tc>
        <w:tc>
          <w:tcPr>
            <w:tcW w:type="dxa" w:w="7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Within 90 days of receipt</w:t>
            </w:r>
          </w:p>
        </w:tc>
      </w:tr>
      <w:tr>
        <w:tc>
          <w:tcPr>
            <w:tcW w:type="dxa" w:w="24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Preferred Format:</w:t>
            </w:r>
          </w:p>
        </w:tc>
        <w:tc>
          <w:tcPr>
            <w:tcW w:type="dxa" w:w="73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Face-to-Face or WebEx</w:t>
            </w:r>
          </w:p>
        </w:tc>
      </w:tr>
    </w:tbl>
    <w:p>
      <w:pPr>
        <w:spacing w:before="0" w:after="200"/>
      </w:pPr>
      <w:r>
        <w:t xml:space="preserve"/>
      </w:r>
    </w:p>
    <w:p>
      <w:pPr>
        <w:jc w:val="center"/>
      </w:pPr>
      <w:r>
        <w:rPr>
          <w:rFonts w:ascii="Arial" w:cs="Arial" w:eastAsia="Arial" w:hAnsi="Arial"/>
          <w:b/>
          <w:bCs/>
          <w:color w:val="C0392B"/>
          <w:sz w:val="18"/>
          <w:szCs w:val="18"/>
        </w:rPr>
        <w:t xml:space="preserve">CONFIDENTIAL — Contains Trade Secret and Proprietary Information</w:t>
      </w:r>
    </w:p>
    <w:p>
      <w:r>
        <w:br w:type="page"/>
      </w:r>
    </w:p>
    <w:p>
      <w:pPr>
        <w:pStyle w:val="Heading1"/>
        <w:pBdr>
          <w:bottom w:val="single" w:color="1B3A6B" w:sz="4" w:space="4"/>
        </w:pBdr>
        <w:spacing w:before="320" w:after="120"/>
      </w:pPr>
      <w:r>
        <w:rPr>
          <w:rFonts w:ascii="Arial" w:cs="Arial" w:eastAsia="Arial" w:hAnsi="Arial"/>
          <w:b/>
          <w:bCs/>
          <w:color w:val="1B3A6B"/>
          <w:sz w:val="28"/>
          <w:szCs w:val="28"/>
        </w:rPr>
        <w:t xml:space="preserve">1. PURPOSE OF MEETING</w:t>
      </w:r>
    </w:p>
    <w:p>
      <w:pPr>
        <w:spacing w:before="80" w:after="80" w:line="280"/>
        <w:jc w:val="left"/>
      </w:pPr>
      <w:r>
        <w:rPr>
          <w:rFonts w:ascii="Arial" w:cs="Arial" w:eastAsia="Arial" w:hAnsi="Arial"/>
          <w:color w:val="1A1A1A"/>
          <w:sz w:val="20"/>
          <w:szCs w:val="20"/>
        </w:rPr>
        <w:t xml:space="preserve">OncoBioLogics, Inc. ("Sponsor") respectfully requests an End-of-Phase 1 (EOP1) Type B meeting with the FDA/CDER to discuss the clinical development of CERVIMAB, an investigational humanized IgG4 monoclonal antibody targeting the PD-1 checkpoint receptor, for the treatment of patients with mismatch repair deficient (dMMR) and/or microsatellite instability-high (MSI-H) metastatic colorectal cancer (mCRC).</w:t>
      </w:r>
    </w:p>
    <w:p>
      <w:pPr>
        <w:spacing w:before="0" w:after="60"/>
      </w:pPr>
      <w:r>
        <w:t xml:space="preserve"/>
      </w:r>
    </w:p>
    <w:p>
      <w:pPr>
        <w:spacing w:before="80" w:after="80" w:line="280"/>
        <w:jc w:val="left"/>
      </w:pPr>
      <w:r>
        <w:rPr>
          <w:rFonts w:ascii="Arial" w:cs="Arial" w:eastAsia="Arial" w:hAnsi="Arial"/>
          <w:color w:val="1A1A1A"/>
          <w:sz w:val="20"/>
          <w:szCs w:val="20"/>
        </w:rPr>
        <w:t xml:space="preserve">The Sponsor has completed Phase 1 dose-escalation and dose-expansion studies (Study CRV-001) and is prepared to advance to a randomized Phase 2/3 program. The primary objectives of this meeting are:</w:t>
      </w:r>
    </w:p>
    <w:p>
      <w:pPr>
        <w:pStyle w:val="ListParagraph"/>
        <w:numPr>
          <w:ilvl w:val="0"/>
          <w:numId w:val="2"/>
        </w:numPr>
        <w:spacing w:before="40" w:after="40" w:line="276"/>
      </w:pPr>
      <w:r>
        <w:rPr>
          <w:rFonts w:ascii="Arial" w:cs="Arial" w:eastAsia="Arial" w:hAnsi="Arial"/>
          <w:color w:val="1A1A1A"/>
          <w:sz w:val="20"/>
          <w:szCs w:val="20"/>
        </w:rPr>
        <w:t xml:space="preserve">To review Phase 1 safety and efficacy data and confirm adequacy of dose/schedule selection for Phase 2</w:t>
      </w:r>
    </w:p>
    <w:p>
      <w:pPr>
        <w:pStyle w:val="ListParagraph"/>
        <w:numPr>
          <w:ilvl w:val="0"/>
          <w:numId w:val="2"/>
        </w:numPr>
        <w:spacing w:before="40" w:after="40" w:line="276"/>
      </w:pPr>
      <w:r>
        <w:rPr>
          <w:rFonts w:ascii="Arial" w:cs="Arial" w:eastAsia="Arial" w:hAnsi="Arial"/>
          <w:color w:val="1A1A1A"/>
          <w:sz w:val="20"/>
          <w:szCs w:val="20"/>
        </w:rPr>
        <w:t xml:space="preserve">To align on the proposed Phase 2 trial design, primary endpoint, and patient population</w:t>
      </w:r>
    </w:p>
    <w:p>
      <w:pPr>
        <w:pStyle w:val="ListParagraph"/>
        <w:numPr>
          <w:ilvl w:val="0"/>
          <w:numId w:val="2"/>
        </w:numPr>
        <w:spacing w:before="40" w:after="40" w:line="276"/>
      </w:pPr>
      <w:r>
        <w:rPr>
          <w:rFonts w:ascii="Arial" w:cs="Arial" w:eastAsia="Arial" w:hAnsi="Arial"/>
          <w:color w:val="1A1A1A"/>
          <w:sz w:val="20"/>
          <w:szCs w:val="20"/>
        </w:rPr>
        <w:t xml:space="preserve">To discuss the regulatory pathway, including potential for Accelerated Approval and Breakthrough Therapy Designation (BTD)</w:t>
      </w:r>
    </w:p>
    <w:p>
      <w:pPr>
        <w:pStyle w:val="ListParagraph"/>
        <w:numPr>
          <w:ilvl w:val="0"/>
          <w:numId w:val="2"/>
        </w:numPr>
        <w:spacing w:before="40" w:after="40" w:line="276"/>
      </w:pPr>
      <w:r>
        <w:rPr>
          <w:rFonts w:ascii="Arial" w:cs="Arial" w:eastAsia="Arial" w:hAnsi="Arial"/>
          <w:color w:val="1A1A1A"/>
          <w:sz w:val="20"/>
          <w:szCs w:val="20"/>
        </w:rPr>
        <w:t xml:space="preserve">To align on biomarker strategy (MSI testing, TMB, PD-L1) and companion diagnostic (CDx) requirements</w:t>
      </w:r>
    </w:p>
    <w:p>
      <w:pPr>
        <w:pStyle w:val="ListParagraph"/>
        <w:numPr>
          <w:ilvl w:val="0"/>
          <w:numId w:val="2"/>
        </w:numPr>
        <w:spacing w:before="40" w:after="40" w:line="276"/>
      </w:pPr>
      <w:r>
        <w:rPr>
          <w:rFonts w:ascii="Arial" w:cs="Arial" w:eastAsia="Arial" w:hAnsi="Arial"/>
          <w:color w:val="1A1A1A"/>
          <w:sz w:val="20"/>
          <w:szCs w:val="20"/>
        </w:rPr>
        <w:t xml:space="preserve">To confirm adequacy of the nonclinical package to support Phase 2 initiation</w:t>
      </w:r>
    </w:p>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2. BACKGROUND</w:t>
      </w:r>
    </w:p>
    <w:p>
      <w:pPr>
        <w:pStyle w:val="Heading2"/>
        <w:spacing w:before="240" w:after="80"/>
      </w:pPr>
      <w:r>
        <w:rPr>
          <w:rFonts w:ascii="Arial" w:cs="Arial" w:eastAsia="Arial" w:hAnsi="Arial"/>
          <w:b/>
          <w:bCs/>
          <w:color w:val="4A6FA5"/>
          <w:sz w:val="22"/>
          <w:szCs w:val="22"/>
        </w:rPr>
        <w:t xml:space="preserve">2.1 Disease Overview</w:t>
      </w:r>
    </w:p>
    <w:p>
      <w:pPr>
        <w:spacing w:before="80" w:after="80" w:line="280"/>
        <w:jc w:val="left"/>
      </w:pPr>
      <w:r>
        <w:rPr>
          <w:rFonts w:ascii="Arial" w:cs="Arial" w:eastAsia="Arial" w:hAnsi="Arial"/>
          <w:color w:val="1A1A1A"/>
          <w:sz w:val="20"/>
          <w:szCs w:val="20"/>
        </w:rPr>
        <w:t xml:space="preserve">Colorectal cancer is the third most common malignancy and the second leading cause of cancer death in the United States, with approximately 153,000 new cases and 52,000 deaths projected in 2026 (ACS). An estimated 4–5% of all mCRC patients harbor dMMR/MSI-H tumors, corresponding to approximately 7,500–8,500 patients annually in the U.S. who progress on standard first-line therapy.</w:t>
      </w:r>
    </w:p>
    <w:p>
      <w:pPr>
        <w:spacing w:before="0" w:after="60"/>
      </w:pPr>
      <w:r>
        <w:t xml:space="preserve"/>
      </w:r>
    </w:p>
    <w:p>
      <w:pPr>
        <w:spacing w:before="80" w:after="80" w:line="280"/>
        <w:jc w:val="left"/>
      </w:pPr>
      <w:r>
        <w:rPr>
          <w:rFonts w:ascii="Arial" w:cs="Arial" w:eastAsia="Arial" w:hAnsi="Arial"/>
          <w:color w:val="1A1A1A"/>
          <w:sz w:val="20"/>
          <w:szCs w:val="20"/>
        </w:rPr>
        <w:t xml:space="preserve">Despite approval of pembrolizumab (KEYNOTE-177) and nivolumab (CheckMate-142) in dMMR/MSI-H mCRC, approximately 30–40% of patients do not respond to currently approved PD-1/PD-L1 inhibitors, and among initial responders, acquired resistance remains a major clinical challenge. There is therefore significant unmet need for novel checkpoint inhibitors with potentially differentiated mechanisms of action, improved tolerability, and durable responses in this population.</w:t>
      </w:r>
    </w:p>
    <w:p>
      <w:pPr>
        <w:pStyle w:val="Heading2"/>
        <w:spacing w:before="240" w:after="80"/>
      </w:pPr>
      <w:r>
        <w:rPr>
          <w:rFonts w:ascii="Arial" w:cs="Arial" w:eastAsia="Arial" w:hAnsi="Arial"/>
          <w:b/>
          <w:bCs/>
          <w:color w:val="4A6FA5"/>
          <w:sz w:val="22"/>
          <w:szCs w:val="22"/>
        </w:rPr>
        <w:t xml:space="preserve">2.2 Drug Description</w:t>
      </w:r>
    </w:p>
    <w:p>
      <w:pPr>
        <w:spacing w:before="80" w:after="80" w:line="280"/>
        <w:jc w:val="left"/>
      </w:pPr>
      <w:r>
        <w:rPr>
          <w:rFonts w:ascii="Arial" w:cs="Arial" w:eastAsia="Arial" w:hAnsi="Arial"/>
          <w:color w:val="1A1A1A"/>
          <w:sz w:val="20"/>
          <w:szCs w:val="20"/>
        </w:rPr>
        <w:t xml:space="preserve">CERVIMAB is a humanized IgG4 monoclonal antibody that binds with high affinity and selectivity to PD-1, blocking interactions with both PD-L1 and PD-L2 ligands, thereby restoring T-cell-mediated anti-tumor immunity. Key molecular and pharmacological features include:</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000"/>
        <w:gridCol w:w="6720"/>
      </w:tblGrid>
      <w:tr>
        <w:tc>
          <w:tcPr>
            <w:tcW w:type="dxa" w:w="30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Mechanism of Action</w:t>
            </w:r>
          </w:p>
        </w:tc>
        <w:tc>
          <w:tcPr>
            <w:tcW w:type="dxa" w:w="67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Anti-PD-1 (IgG4 with S228P stabilizing mutation)</w:t>
            </w:r>
          </w:p>
        </w:tc>
      </w:tr>
      <w:tr>
        <w:tc>
          <w:tcPr>
            <w:tcW w:type="dxa" w:w="30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Molecular Weight</w:t>
            </w:r>
          </w:p>
        </w:tc>
        <w:tc>
          <w:tcPr>
            <w:tcW w:type="dxa" w:w="67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~146 kDa</w:t>
            </w:r>
          </w:p>
        </w:tc>
      </w:tr>
      <w:tr>
        <w:tc>
          <w:tcPr>
            <w:tcW w:type="dxa" w:w="30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Route of Administration</w:t>
            </w:r>
          </w:p>
        </w:tc>
        <w:tc>
          <w:tcPr>
            <w:tcW w:type="dxa" w:w="67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Intravenous (IV) infusion</w:t>
            </w:r>
          </w:p>
        </w:tc>
      </w:tr>
      <w:tr>
        <w:tc>
          <w:tcPr>
            <w:tcW w:type="dxa" w:w="30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Binding Affinity (KD)</w:t>
            </w:r>
          </w:p>
        </w:tc>
        <w:tc>
          <w:tcPr>
            <w:tcW w:type="dxa" w:w="67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0.32 nM (human PD-1)</w:t>
            </w:r>
          </w:p>
        </w:tc>
      </w:tr>
      <w:tr>
        <w:tc>
          <w:tcPr>
            <w:tcW w:type="dxa" w:w="30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Species Cross-Reactivity</w:t>
            </w:r>
          </w:p>
        </w:tc>
        <w:tc>
          <w:tcPr>
            <w:tcW w:type="dxa" w:w="67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Human and cynomolgus monkey PD-1</w:t>
            </w:r>
          </w:p>
        </w:tc>
      </w:tr>
      <w:tr>
        <w:tc>
          <w:tcPr>
            <w:tcW w:type="dxa" w:w="30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ADCP/CDC Activity</w:t>
            </w:r>
          </w:p>
        </w:tc>
        <w:tc>
          <w:tcPr>
            <w:tcW w:type="dxa" w:w="67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Minimal (IgG4 backbone)</w:t>
            </w:r>
          </w:p>
        </w:tc>
      </w:tr>
      <w:tr>
        <w:tc>
          <w:tcPr>
            <w:tcW w:type="dxa" w:w="30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Formulation</w:t>
            </w:r>
          </w:p>
        </w:tc>
        <w:tc>
          <w:tcPr>
            <w:tcW w:type="dxa" w:w="67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10 mg/mL in 25 mM histidine, pH 5.8</w:t>
            </w:r>
          </w:p>
        </w:tc>
      </w:tr>
      <w:tr>
        <w:tc>
          <w:tcPr>
            <w:tcW w:type="dxa" w:w="300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bCs/>
                <w:color w:val="1B3A6B"/>
                <w:sz w:val="18"/>
                <w:szCs w:val="18"/>
              </w:rPr>
              <w:t xml:space="preserve">Proposed Clinical Dose</w:t>
            </w:r>
          </w:p>
        </w:tc>
        <w:tc>
          <w:tcPr>
            <w:tcW w:type="dxa" w:w="67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sz w:val="18"/>
                <w:szCs w:val="18"/>
              </w:rPr>
              <w:t xml:space="preserve">400 mg IV Q3W (flat dosing)</w:t>
            </w:r>
          </w:p>
        </w:tc>
      </w:tr>
    </w:tbl>
    <w:p>
      <w:pPr>
        <w:pStyle w:val="Heading2"/>
        <w:spacing w:before="240" w:after="80"/>
      </w:pPr>
      <w:r>
        <w:rPr>
          <w:rFonts w:ascii="Arial" w:cs="Arial" w:eastAsia="Arial" w:hAnsi="Arial"/>
          <w:b/>
          <w:bCs/>
          <w:color w:val="4A6FA5"/>
          <w:sz w:val="22"/>
          <w:szCs w:val="22"/>
        </w:rPr>
        <w:t xml:space="preserve">2.3 Summary of Phase 1 Results (Study CRV-001)</w:t>
      </w:r>
    </w:p>
    <w:p>
      <w:pPr>
        <w:spacing w:before="80" w:after="80" w:line="280"/>
        <w:jc w:val="left"/>
      </w:pPr>
      <w:r>
        <w:rPr>
          <w:rFonts w:ascii="Arial" w:cs="Arial" w:eastAsia="Arial" w:hAnsi="Arial"/>
          <w:color w:val="1A1A1A"/>
          <w:sz w:val="20"/>
          <w:szCs w:val="20"/>
        </w:rPr>
        <w:t xml:space="preserve">Study CRV-001 was a Phase 1, open-label, multicenter, dose-escalation (Part A) and dose-expansion (Part B) study in adult patients with advanced solid tumors enriched for dMMR/MSI-H mCRC in Part B. As of the data cutoff of December 31, 2025:</w:t>
      </w:r>
    </w:p>
    <w:p>
      <w:pPr>
        <w:spacing w:before="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4860"/>
        <w:gridCol w:w="4860"/>
      </w:tblGrid>
      <w:tr>
        <w:tc>
          <w:tcPr>
            <w:tcW w:type="dxa" w:w="486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Parameter</w:t>
            </w:r>
          </w:p>
        </w:tc>
        <w:tc>
          <w:tcPr>
            <w:tcW w:type="dxa" w:w="486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Result</w:t>
            </w:r>
          </w:p>
        </w:tc>
      </w:tr>
      <w:tr>
        <w:tc>
          <w:tcPr>
            <w:tcW w:type="dxa" w:w="4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Dose-escalation cohorts (Part A)</w:t>
            </w:r>
          </w:p>
        </w:tc>
        <w:tc>
          <w:tcPr>
            <w:tcW w:type="dxa" w:w="4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100, 200, 400, 600 mg Q3W; N=28</w:t>
            </w:r>
          </w:p>
        </w:tc>
      </w:tr>
      <w:tr>
        <w:tc>
          <w:tcPr>
            <w:tcW w:type="dxa" w:w="48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Dose-expansion dMMR/MSI-H mCRC (Part B)</w:t>
            </w:r>
          </w:p>
        </w:tc>
        <w:tc>
          <w:tcPr>
            <w:tcW w:type="dxa" w:w="48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400 mg Q3W; N=65</w:t>
            </w:r>
          </w:p>
        </w:tc>
      </w:tr>
      <w:tr>
        <w:tc>
          <w:tcPr>
            <w:tcW w:type="dxa" w:w="4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Median follow-up (Part B)</w:t>
            </w:r>
          </w:p>
        </w:tc>
        <w:tc>
          <w:tcPr>
            <w:tcW w:type="dxa" w:w="4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14.2 months (range: 2.8–28.4)</w:t>
            </w:r>
          </w:p>
        </w:tc>
      </w:tr>
      <w:tr>
        <w:tc>
          <w:tcPr>
            <w:tcW w:type="dxa" w:w="48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Confirmed ORR (RECIST v1.1)</w:t>
            </w:r>
          </w:p>
        </w:tc>
        <w:tc>
          <w:tcPr>
            <w:tcW w:type="dxa" w:w="48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43.1% (28/65; 95% CI: 30.9–55.9%)</w:t>
            </w:r>
          </w:p>
        </w:tc>
      </w:tr>
      <w:tr>
        <w:tc>
          <w:tcPr>
            <w:tcW w:type="dxa" w:w="4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Complete Response Rate</w:t>
            </w:r>
          </w:p>
        </w:tc>
        <w:tc>
          <w:tcPr>
            <w:tcW w:type="dxa" w:w="4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9.2% (6/65)</w:t>
            </w:r>
          </w:p>
        </w:tc>
      </w:tr>
      <w:tr>
        <w:tc>
          <w:tcPr>
            <w:tcW w:type="dxa" w:w="48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Disease Control Rate</w:t>
            </w:r>
          </w:p>
        </w:tc>
        <w:tc>
          <w:tcPr>
            <w:tcW w:type="dxa" w:w="48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69.2% (45/65)</w:t>
            </w:r>
          </w:p>
        </w:tc>
      </w:tr>
      <w:tr>
        <w:tc>
          <w:tcPr>
            <w:tcW w:type="dxa" w:w="4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Median Duration of Response</w:t>
            </w:r>
          </w:p>
        </w:tc>
        <w:tc>
          <w:tcPr>
            <w:tcW w:type="dxa" w:w="4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Not reached (NR); 79% ongoing at 12 months</w:t>
            </w:r>
          </w:p>
        </w:tc>
      </w:tr>
      <w:tr>
        <w:tc>
          <w:tcPr>
            <w:tcW w:type="dxa" w:w="48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Median PFS</w:t>
            </w:r>
          </w:p>
        </w:tc>
        <w:tc>
          <w:tcPr>
            <w:tcW w:type="dxa" w:w="48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9.4 months (95% CI: 7.2–13.1)</w:t>
            </w:r>
          </w:p>
        </w:tc>
      </w:tr>
      <w:tr>
        <w:tc>
          <w:tcPr>
            <w:tcW w:type="dxa" w:w="4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Median OS</w:t>
            </w:r>
          </w:p>
        </w:tc>
        <w:tc>
          <w:tcPr>
            <w:tcW w:type="dxa" w:w="4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Not reached (NR)</w:t>
            </w:r>
          </w:p>
        </w:tc>
      </w:tr>
      <w:tr>
        <w:tc>
          <w:tcPr>
            <w:tcW w:type="dxa" w:w="48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MTD</w:t>
            </w:r>
          </w:p>
        </w:tc>
        <w:tc>
          <w:tcPr>
            <w:tcW w:type="dxa" w:w="48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Not established (NTD at 600 mg Q3W)</w:t>
            </w:r>
          </w:p>
        </w:tc>
      </w:tr>
      <w:tr>
        <w:tc>
          <w:tcPr>
            <w:tcW w:type="dxa" w:w="4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Recommended Phase 2 Dose (RP2D)</w:t>
            </w:r>
          </w:p>
        </w:tc>
        <w:tc>
          <w:tcPr>
            <w:tcW w:type="dxa" w:w="4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400 mg IV Q3W</w:t>
            </w:r>
          </w:p>
        </w:tc>
      </w:tr>
      <w:tr>
        <w:tc>
          <w:tcPr>
            <w:tcW w:type="dxa" w:w="48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Grade ≥3 Treatment-Related AEs</w:t>
            </w:r>
          </w:p>
        </w:tc>
        <w:tc>
          <w:tcPr>
            <w:tcW w:type="dxa" w:w="48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23.1% (15/65)</w:t>
            </w:r>
          </w:p>
        </w:tc>
      </w:tr>
      <w:tr>
        <w:tc>
          <w:tcPr>
            <w:tcW w:type="dxa" w:w="4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Immune-mediated AEs (any grade)</w:t>
            </w:r>
          </w:p>
        </w:tc>
        <w:tc>
          <w:tcPr>
            <w:tcW w:type="dxa" w:w="48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36.9% (24/65)</w:t>
            </w:r>
          </w:p>
        </w:tc>
      </w:tr>
      <w:tr>
        <w:tc>
          <w:tcPr>
            <w:tcW w:type="dxa" w:w="48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Treatment discontinuation due to AEs</w:t>
            </w:r>
          </w:p>
        </w:tc>
        <w:tc>
          <w:tcPr>
            <w:tcW w:type="dxa" w:w="48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6.2% (4/65)</w:t>
            </w:r>
          </w:p>
        </w:tc>
      </w:tr>
    </w:tbl>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3. PROPOSED AGENDA</w:t>
      </w:r>
    </w:p>
    <w:p>
      <w:pPr>
        <w:spacing w:before="80" w:after="80" w:line="280"/>
        <w:jc w:val="left"/>
      </w:pPr>
      <w:r>
        <w:rPr>
          <w:rFonts w:ascii="Arial" w:cs="Arial" w:eastAsia="Arial" w:hAnsi="Arial"/>
          <w:color w:val="1A1A1A"/>
          <w:sz w:val="20"/>
          <w:szCs w:val="20"/>
        </w:rPr>
        <w:t xml:space="preserve">The Sponsor proposes the following agenda for the EOP1 meeting (estimated duration: 90 minutes):</w:t>
      </w:r>
    </w:p>
    <w:p>
      <w:pPr>
        <w:spacing w:before="0" w:after="60"/>
      </w:pPr>
      <w:r>
        <w:t xml:space="preserve"/>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440"/>
        <w:gridCol w:w="5760"/>
        <w:gridCol w:w="2520"/>
      </w:tblGrid>
      <w:tr>
        <w:tc>
          <w:tcPr>
            <w:tcW w:type="dxa" w:w="144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pPr>
              <w:jc w:val="center"/>
            </w:pPr>
            <w:r>
              <w:rPr>
                <w:rFonts w:ascii="Arial" w:cs="Arial" w:eastAsia="Arial" w:hAnsi="Arial"/>
                <w:b/>
                <w:bCs/>
                <w:color w:val="FFFFFF"/>
                <w:sz w:val="18"/>
                <w:szCs w:val="18"/>
              </w:rPr>
              <w:t xml:space="preserve">Time</w:t>
            </w:r>
          </w:p>
        </w:tc>
        <w:tc>
          <w:tcPr>
            <w:tcW w:type="dxa" w:w="576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Agenda Item</w:t>
            </w:r>
          </w:p>
        </w:tc>
        <w:tc>
          <w:tcPr>
            <w:tcW w:type="dxa" w:w="252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Led By</w:t>
            </w:r>
          </w:p>
        </w:tc>
      </w:tr>
      <w:tr>
        <w:tc>
          <w:tcPr>
            <w:tcW w:type="dxa" w:w="14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8"/>
                <w:szCs w:val="18"/>
              </w:rPr>
              <w:t xml:space="preserve">0–5 min</w:t>
            </w:r>
          </w:p>
        </w:tc>
        <w:tc>
          <w:tcPr>
            <w:tcW w:type="dxa" w:w="57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Introductions and meeting objectives</w:t>
            </w:r>
          </w:p>
        </w:tc>
        <w:tc>
          <w:tcPr>
            <w:tcW w:type="dxa" w:w="25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Both parties</w:t>
            </w:r>
          </w:p>
        </w:tc>
      </w:tr>
      <w:tr>
        <w:tc>
          <w:tcPr>
            <w:tcW w:type="dxa" w:w="144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8"/>
                <w:szCs w:val="18"/>
              </w:rPr>
              <w:t xml:space="preserve">5–20 min</w:t>
            </w:r>
          </w:p>
        </w:tc>
        <w:tc>
          <w:tcPr>
            <w:tcW w:type="dxa" w:w="57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Phase 1 data summary (safety, PK/PD, efficacy)</w:t>
            </w:r>
          </w:p>
        </w:tc>
        <w:tc>
          <w:tcPr>
            <w:tcW w:type="dxa" w:w="252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Sponsor</w:t>
            </w:r>
          </w:p>
        </w:tc>
      </w:tr>
      <w:tr>
        <w:tc>
          <w:tcPr>
            <w:tcW w:type="dxa" w:w="14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8"/>
                <w:szCs w:val="18"/>
              </w:rPr>
              <w:t xml:space="preserve">20–35 min</w:t>
            </w:r>
          </w:p>
        </w:tc>
        <w:tc>
          <w:tcPr>
            <w:tcW w:type="dxa" w:w="57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Proposed Phase 2/3 trial design: objectives, endpoints, patient population</w:t>
            </w:r>
          </w:p>
        </w:tc>
        <w:tc>
          <w:tcPr>
            <w:tcW w:type="dxa" w:w="25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Sponsor</w:t>
            </w:r>
          </w:p>
        </w:tc>
      </w:tr>
      <w:tr>
        <w:tc>
          <w:tcPr>
            <w:tcW w:type="dxa" w:w="144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8"/>
                <w:szCs w:val="18"/>
              </w:rPr>
              <w:t xml:space="preserve">35–50 min</w:t>
            </w:r>
          </w:p>
        </w:tc>
        <w:tc>
          <w:tcPr>
            <w:tcW w:type="dxa" w:w="57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FDA feedback on trial design, endpoints, and patient selection</w:t>
            </w:r>
          </w:p>
        </w:tc>
        <w:tc>
          <w:tcPr>
            <w:tcW w:type="dxa" w:w="252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FDA</w:t>
            </w:r>
          </w:p>
        </w:tc>
      </w:tr>
      <w:tr>
        <w:tc>
          <w:tcPr>
            <w:tcW w:type="dxa" w:w="14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8"/>
                <w:szCs w:val="18"/>
              </w:rPr>
              <w:t xml:space="preserve">50–65 min</w:t>
            </w:r>
          </w:p>
        </w:tc>
        <w:tc>
          <w:tcPr>
            <w:tcW w:type="dxa" w:w="57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Regulatory pathway discussion: Accelerated Approval, BT Designation, SPA feasibility</w:t>
            </w:r>
          </w:p>
        </w:tc>
        <w:tc>
          <w:tcPr>
            <w:tcW w:type="dxa" w:w="25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Both parties</w:t>
            </w:r>
          </w:p>
        </w:tc>
      </w:tr>
      <w:tr>
        <w:tc>
          <w:tcPr>
            <w:tcW w:type="dxa" w:w="144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8"/>
                <w:szCs w:val="18"/>
              </w:rPr>
              <w:t xml:space="preserve">65–75 min</w:t>
            </w:r>
          </w:p>
        </w:tc>
        <w:tc>
          <w:tcPr>
            <w:tcW w:type="dxa" w:w="57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Biomarker strategy and CDx requirements</w:t>
            </w:r>
          </w:p>
        </w:tc>
        <w:tc>
          <w:tcPr>
            <w:tcW w:type="dxa" w:w="252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Both parties</w:t>
            </w:r>
          </w:p>
        </w:tc>
      </w:tr>
      <w:tr>
        <w:tc>
          <w:tcPr>
            <w:tcW w:type="dxa" w:w="144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1A1A1A"/>
                <w:sz w:val="18"/>
                <w:szCs w:val="18"/>
              </w:rPr>
              <w:t xml:space="preserve">75–85 min</w:t>
            </w:r>
          </w:p>
        </w:tc>
        <w:tc>
          <w:tcPr>
            <w:tcW w:type="dxa" w:w="57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CMC and nonclinical adequacy for Phase 2</w:t>
            </w:r>
          </w:p>
        </w:tc>
        <w:tc>
          <w:tcPr>
            <w:tcW w:type="dxa" w:w="252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Both parties</w:t>
            </w:r>
          </w:p>
        </w:tc>
      </w:tr>
      <w:tr>
        <w:tc>
          <w:tcPr>
            <w:tcW w:type="dxa" w:w="144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pPr>
              <w:jc w:val="center"/>
            </w:pPr>
            <w:r>
              <w:rPr>
                <w:rFonts w:ascii="Arial" w:cs="Arial" w:eastAsia="Arial" w:hAnsi="Arial"/>
                <w:b w:val="false"/>
                <w:bCs w:val="false"/>
                <w:color w:val="1A1A1A"/>
                <w:sz w:val="18"/>
                <w:szCs w:val="18"/>
              </w:rPr>
              <w:t xml:space="preserve">85–90 min</w:t>
            </w:r>
          </w:p>
        </w:tc>
        <w:tc>
          <w:tcPr>
            <w:tcW w:type="dxa" w:w="57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Action items, summary, and closing</w:t>
            </w:r>
          </w:p>
        </w:tc>
        <w:tc>
          <w:tcPr>
            <w:tcW w:type="dxa" w:w="252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Both parties</w:t>
            </w:r>
          </w:p>
        </w:tc>
      </w:tr>
    </w:tbl>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4. QUESTIONS FOR FDA</w:t>
      </w:r>
    </w:p>
    <w:p>
      <w:pPr>
        <w:pStyle w:val="Heading2"/>
        <w:spacing w:before="240" w:after="80"/>
      </w:pPr>
      <w:r>
        <w:rPr>
          <w:rFonts w:ascii="Arial" w:cs="Arial" w:eastAsia="Arial" w:hAnsi="Arial"/>
          <w:b/>
          <w:bCs/>
          <w:color w:val="4A6FA5"/>
          <w:sz w:val="22"/>
          <w:szCs w:val="22"/>
        </w:rPr>
        <w:t xml:space="preserve">4.1 Phase 2 Trial Design</w:t>
      </w:r>
    </w:p>
    <w:p>
      <w:pPr>
        <w:pStyle w:val="ListParagraph"/>
        <w:numPr>
          <w:ilvl w:val="0"/>
          <w:numId w:val="3"/>
        </w:numPr>
        <w:spacing w:before="60" w:after="60"/>
      </w:pPr>
      <w:r>
        <w:rPr>
          <w:rFonts w:ascii="Arial" w:cs="Arial" w:eastAsia="Arial" w:hAnsi="Arial"/>
          <w:sz w:val="20"/>
          <w:szCs w:val="20"/>
        </w:rPr>
        <w:t xml:space="preserve">Does FDA agree that the proposed randomized Phase 2 trial comparing CERVIMAB (400 mg IV Q3W) versus standard-of-care second-line chemotherapy (FOLFIRI ± bevacizumab) in dMMR/MSI-H mCRC patients who progressed on first-line therapy constitutes an adequate and well-controlled study to support a biologics license application (BLA)?</w:t>
      </w:r>
    </w:p>
    <w:p>
      <w:pPr>
        <w:pStyle w:val="ListParagraph"/>
        <w:numPr>
          <w:ilvl w:val="0"/>
          <w:numId w:val="3"/>
        </w:numPr>
        <w:spacing w:before="60" w:after="60"/>
      </w:pPr>
      <w:r>
        <w:rPr>
          <w:rFonts w:ascii="Arial" w:cs="Arial" w:eastAsia="Arial" w:hAnsi="Arial"/>
          <w:sz w:val="20"/>
          <w:szCs w:val="20"/>
        </w:rPr>
        <w:t xml:space="preserve">Does FDA agree that PFS per RECIST v1.1 by blinded independent central review (BICR) is acceptable as the primary endpoint for the proposed Phase 2 trial, with OS as a key secondary endpoint, to support Accelerated Approval followed by verification via OS in a confirmatory Phase 3?</w:t>
      </w:r>
    </w:p>
    <w:p>
      <w:pPr>
        <w:pStyle w:val="ListParagraph"/>
        <w:numPr>
          <w:ilvl w:val="0"/>
          <w:numId w:val="3"/>
        </w:numPr>
        <w:spacing w:before="60" w:after="60"/>
      </w:pPr>
      <w:r>
        <w:rPr>
          <w:rFonts w:ascii="Arial" w:cs="Arial" w:eastAsia="Arial" w:hAnsi="Arial"/>
          <w:sz w:val="20"/>
          <w:szCs w:val="20"/>
        </w:rPr>
        <w:t xml:space="preserve">Does FDA concur that the proposed sample size of approximately 200 patients (1:1 randomization; 100 per arm) provides adequate statistical power (90% power, two-sided alpha 0.05, assumed HR = 0.55) to detect the anticipated treatment benefit?</w:t>
      </w:r>
    </w:p>
    <w:p>
      <w:pPr>
        <w:pStyle w:val="Heading2"/>
        <w:spacing w:before="240" w:after="80"/>
      </w:pPr>
      <w:r>
        <w:rPr>
          <w:rFonts w:ascii="Arial" w:cs="Arial" w:eastAsia="Arial" w:hAnsi="Arial"/>
          <w:b/>
          <w:bCs/>
          <w:color w:val="4A6FA5"/>
          <w:sz w:val="22"/>
          <w:szCs w:val="22"/>
        </w:rPr>
        <w:t xml:space="preserve">4.2 Regulatory Pathway</w:t>
      </w:r>
    </w:p>
    <w:p>
      <w:pPr>
        <w:pStyle w:val="ListParagraph"/>
        <w:numPr>
          <w:ilvl w:val="0"/>
          <w:numId w:val="3"/>
        </w:numPr>
        <w:spacing w:before="60" w:after="60"/>
      </w:pPr>
      <w:r>
        <w:rPr>
          <w:rFonts w:ascii="Arial" w:cs="Arial" w:eastAsia="Arial" w:hAnsi="Arial"/>
          <w:sz w:val="20"/>
          <w:szCs w:val="20"/>
        </w:rPr>
        <w:t xml:space="preserve">Has CERVIMAB received, or is it eligible for, Breakthrough Therapy Designation (BTD) based on Phase 1 data? If BTD has not yet been granted, does FDA agree that the Phase 1 data are sufficiently compelling to support a BTD request?</w:t>
      </w:r>
    </w:p>
    <w:p>
      <w:pPr>
        <w:pStyle w:val="ListParagraph"/>
        <w:numPr>
          <w:ilvl w:val="0"/>
          <w:numId w:val="3"/>
        </w:numPr>
        <w:spacing w:before="60" w:after="60"/>
      </w:pPr>
      <w:r>
        <w:rPr>
          <w:rFonts w:ascii="Arial" w:cs="Arial" w:eastAsia="Arial" w:hAnsi="Arial"/>
          <w:sz w:val="20"/>
          <w:szCs w:val="20"/>
        </w:rPr>
        <w:t xml:space="preserve">Does FDA agree that the proposed Phase 2 program, if successful, would support an Accelerated Approval submission based on ORR/DOR or PFS as a reasonably likely surrogate endpoint, with OS as the confirmatory endpoint in a subsequent Phase 3 trial?</w:t>
      </w:r>
    </w:p>
    <w:p>
      <w:pPr>
        <w:pStyle w:val="ListParagraph"/>
        <w:numPr>
          <w:ilvl w:val="0"/>
          <w:numId w:val="3"/>
        </w:numPr>
        <w:spacing w:before="60" w:after="60"/>
      </w:pPr>
      <w:r>
        <w:rPr>
          <w:rFonts w:ascii="Arial" w:cs="Arial" w:eastAsia="Arial" w:hAnsi="Arial"/>
          <w:sz w:val="20"/>
          <w:szCs w:val="20"/>
        </w:rPr>
        <w:t xml:space="preserve">Is a Special Protocol Assessment (SPA) for the Phase 2 protocol appropriate and feasible at this stage?</w:t>
      </w:r>
    </w:p>
    <w:p>
      <w:pPr>
        <w:pStyle w:val="Heading2"/>
        <w:spacing w:before="240" w:after="80"/>
      </w:pPr>
      <w:r>
        <w:rPr>
          <w:rFonts w:ascii="Arial" w:cs="Arial" w:eastAsia="Arial" w:hAnsi="Arial"/>
          <w:b/>
          <w:bCs/>
          <w:color w:val="4A6FA5"/>
          <w:sz w:val="22"/>
          <w:szCs w:val="22"/>
        </w:rPr>
        <w:t xml:space="preserve">4.3 Biomarker and CDx Strategy</w:t>
      </w:r>
    </w:p>
    <w:p>
      <w:pPr>
        <w:pStyle w:val="ListParagraph"/>
        <w:numPr>
          <w:ilvl w:val="0"/>
          <w:numId w:val="3"/>
        </w:numPr>
        <w:spacing w:before="60" w:after="60"/>
      </w:pPr>
      <w:r>
        <w:rPr>
          <w:rFonts w:ascii="Arial" w:cs="Arial" w:eastAsia="Arial" w:hAnsi="Arial"/>
          <w:sz w:val="20"/>
          <w:szCs w:val="20"/>
        </w:rPr>
        <w:t xml:space="preserve">Does FDA agree that prospective central confirmation of dMMR/MSI-H status by an FDA-approved companion diagnostic test (e.g., VENTANA MMR RxDx Panel or Foundation Medicine CDx) is required as an enrollment criterion, and would FDA consider allowing the use of validated laboratory-developed tests (LDTs) as a backup during trial conduct?</w:t>
      </w:r>
    </w:p>
    <w:p>
      <w:pPr>
        <w:pStyle w:val="ListParagraph"/>
        <w:numPr>
          <w:ilvl w:val="0"/>
          <w:numId w:val="3"/>
        </w:numPr>
        <w:spacing w:before="60" w:after="60"/>
      </w:pPr>
      <w:r>
        <w:rPr>
          <w:rFonts w:ascii="Arial" w:cs="Arial" w:eastAsia="Arial" w:hAnsi="Arial"/>
          <w:sz w:val="20"/>
          <w:szCs w:val="20"/>
        </w:rPr>
        <w:t xml:space="preserve">Should TMB (tumor mutational burden) and PD-L1 CPS be co-collected as exploratory biomarkers, and does FDA have any specific recommendations on TMB thresholds for subgroup analyses?</w:t>
      </w:r>
    </w:p>
    <w:p>
      <w:pPr>
        <w:pStyle w:val="Heading2"/>
        <w:spacing w:before="240" w:after="80"/>
      </w:pPr>
      <w:r>
        <w:rPr>
          <w:rFonts w:ascii="Arial" w:cs="Arial" w:eastAsia="Arial" w:hAnsi="Arial"/>
          <w:b/>
          <w:bCs/>
          <w:color w:val="4A6FA5"/>
          <w:sz w:val="22"/>
          <w:szCs w:val="22"/>
        </w:rPr>
        <w:t xml:space="preserve">4.4 CMC and Nonclinical</w:t>
      </w:r>
    </w:p>
    <w:p>
      <w:pPr>
        <w:pStyle w:val="ListParagraph"/>
        <w:numPr>
          <w:ilvl w:val="0"/>
          <w:numId w:val="3"/>
        </w:numPr>
        <w:spacing w:before="60" w:after="60"/>
      </w:pPr>
      <w:r>
        <w:rPr>
          <w:rFonts w:ascii="Arial" w:cs="Arial" w:eastAsia="Arial" w:hAnsi="Arial"/>
          <w:sz w:val="20"/>
          <w:szCs w:val="20"/>
        </w:rPr>
        <w:t xml:space="preserve">Does FDA concur that the current nonclinical package (GLP toxicology studies in cynomolgus monkeys, completed DART study demonstrating no reproductive/developmental toxicity signal at exposures up to 10x the human RP2D) is adequate to support Phase 2 initiation and, ultimately, BLA submission?</w:t>
      </w:r>
    </w:p>
    <w:p>
      <w:pPr>
        <w:pStyle w:val="ListParagraph"/>
        <w:numPr>
          <w:ilvl w:val="0"/>
          <w:numId w:val="3"/>
        </w:numPr>
        <w:spacing w:before="60" w:after="60"/>
      </w:pPr>
      <w:r>
        <w:rPr>
          <w:rFonts w:ascii="Arial" w:cs="Arial" w:eastAsia="Arial" w:hAnsi="Arial"/>
          <w:sz w:val="20"/>
          <w:szCs w:val="20"/>
        </w:rPr>
        <w:t xml:space="preserve">Is the proposed drug product specification package (release and shelf-life limits) and drug substance comparability data (pre- and post-process change lots) adequate to support Phase 2 clinical manufacturing?</w:t>
      </w:r>
    </w:p>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5. ATTENDEES</w:t>
      </w:r>
    </w:p>
    <w:p>
      <w:pPr>
        <w:pStyle w:val="Heading2"/>
        <w:spacing w:before="240" w:after="80"/>
      </w:pPr>
      <w:r>
        <w:rPr>
          <w:rFonts w:ascii="Arial" w:cs="Arial" w:eastAsia="Arial" w:hAnsi="Arial"/>
          <w:b/>
          <w:bCs/>
          <w:color w:val="4A6FA5"/>
          <w:sz w:val="22"/>
          <w:szCs w:val="22"/>
        </w:rPr>
        <w:t xml:space="preserve">5.1 Sponsor Attendees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3600"/>
        <w:gridCol w:w="3060"/>
        <w:gridCol w:w="3060"/>
      </w:tblGrid>
      <w:tr>
        <w:tc>
          <w:tcPr>
            <w:tcW w:type="dxa" w:w="3600"/>
            <w:tcBorders>
              <w:top w:val="single" w:color="D0D7E3" w:sz="1"/>
              <w:left w:val="single" w:color="D0D7E3" w:sz="1"/>
              <w:bottom w:val="single" w:color="D0D7E3" w:sz="1"/>
              <w:right w:val="single" w:color="D0D7E3" w:sz="1"/>
            </w:tcBorders>
            <w:shd w:fill="4A6FA5" w:val="clear"/>
            <w:tcMar>
              <w:top w:type="dxa" w:w="100"/>
              <w:left w:type="dxa" w:w="140"/>
              <w:bottom w:type="dxa" w:w="100"/>
              <w:right w:type="dxa" w:w="140"/>
            </w:tcMar>
          </w:tcPr>
          <w:p>
            <w:r>
              <w:rPr>
                <w:rFonts w:ascii="Arial" w:cs="Arial" w:eastAsia="Arial" w:hAnsi="Arial"/>
                <w:b/>
                <w:bCs/>
                <w:color w:val="FFFFFF"/>
                <w:sz w:val="18"/>
                <w:szCs w:val="18"/>
              </w:rPr>
              <w:t xml:space="preserve">Name</w:t>
            </w:r>
          </w:p>
        </w:tc>
        <w:tc>
          <w:tcPr>
            <w:tcW w:type="dxa" w:w="3060"/>
            <w:tcBorders>
              <w:top w:val="single" w:color="D0D7E3" w:sz="1"/>
              <w:left w:val="single" w:color="D0D7E3" w:sz="1"/>
              <w:bottom w:val="single" w:color="D0D7E3" w:sz="1"/>
              <w:right w:val="single" w:color="D0D7E3" w:sz="1"/>
            </w:tcBorders>
            <w:shd w:fill="4A6FA5" w:val="clear"/>
            <w:tcMar>
              <w:top w:type="dxa" w:w="100"/>
              <w:left w:type="dxa" w:w="140"/>
              <w:bottom w:type="dxa" w:w="100"/>
              <w:right w:type="dxa" w:w="140"/>
            </w:tcMar>
          </w:tcPr>
          <w:p>
            <w:r>
              <w:rPr>
                <w:rFonts w:ascii="Arial" w:cs="Arial" w:eastAsia="Arial" w:hAnsi="Arial"/>
                <w:b/>
                <w:bCs/>
                <w:color w:val="FFFFFF"/>
                <w:sz w:val="18"/>
                <w:szCs w:val="18"/>
              </w:rPr>
              <w:t xml:space="preserve">Title</w:t>
            </w:r>
          </w:p>
        </w:tc>
        <w:tc>
          <w:tcPr>
            <w:tcW w:type="dxa" w:w="3060"/>
            <w:tcBorders>
              <w:top w:val="single" w:color="D0D7E3" w:sz="1"/>
              <w:left w:val="single" w:color="D0D7E3" w:sz="1"/>
              <w:bottom w:val="single" w:color="D0D7E3" w:sz="1"/>
              <w:right w:val="single" w:color="D0D7E3" w:sz="1"/>
            </w:tcBorders>
            <w:shd w:fill="4A6FA5" w:val="clear"/>
            <w:tcMar>
              <w:top w:type="dxa" w:w="100"/>
              <w:left w:type="dxa" w:w="140"/>
              <w:bottom w:type="dxa" w:w="100"/>
              <w:right w:type="dxa" w:w="140"/>
            </w:tcMar>
          </w:tcPr>
          <w:p>
            <w:r>
              <w:rPr>
                <w:rFonts w:ascii="Arial" w:cs="Arial" w:eastAsia="Arial" w:hAnsi="Arial"/>
                <w:b/>
                <w:bCs/>
                <w:color w:val="FFFFFF"/>
                <w:sz w:val="18"/>
                <w:szCs w:val="18"/>
              </w:rPr>
              <w:t xml:space="preserve">Role</w:t>
            </w:r>
          </w:p>
        </w:tc>
      </w:tr>
      <w:tr>
        <w:tc>
          <w:tcPr>
            <w:tcW w:type="dxa" w:w="36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Jane M. Porter, PhD</w:t>
            </w:r>
          </w:p>
        </w:tc>
        <w:tc>
          <w:tcPr>
            <w:tcW w:type="dxa" w:w="30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VP, Regulatory Affairs</w:t>
            </w:r>
          </w:p>
        </w:tc>
        <w:tc>
          <w:tcPr>
            <w:tcW w:type="dxa" w:w="30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Meeting Lead</w:t>
            </w:r>
          </w:p>
        </w:tc>
      </w:tr>
      <w:tr>
        <w:tc>
          <w:tcPr>
            <w:tcW w:type="dxa" w:w="36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David K. Osei, MD</w:t>
            </w:r>
          </w:p>
        </w:tc>
        <w:tc>
          <w:tcPr>
            <w:tcW w:type="dxa" w:w="30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Chief Medical Officer</w:t>
            </w:r>
          </w:p>
        </w:tc>
        <w:tc>
          <w:tcPr>
            <w:tcW w:type="dxa" w:w="30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Clinical Lead</w:t>
            </w:r>
          </w:p>
        </w:tc>
      </w:tr>
      <w:tr>
        <w:tc>
          <w:tcPr>
            <w:tcW w:type="dxa" w:w="36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Sarah L. Chen, PhD</w:t>
            </w:r>
          </w:p>
        </w:tc>
        <w:tc>
          <w:tcPr>
            <w:tcW w:type="dxa" w:w="30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VP, Clinical Development</w:t>
            </w:r>
          </w:p>
        </w:tc>
        <w:tc>
          <w:tcPr>
            <w:tcW w:type="dxa" w:w="30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Protocol Design</w:t>
            </w:r>
          </w:p>
        </w:tc>
      </w:tr>
      <w:tr>
        <w:tc>
          <w:tcPr>
            <w:tcW w:type="dxa" w:w="36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Marcus T. Wells, PhD</w:t>
            </w:r>
          </w:p>
        </w:tc>
        <w:tc>
          <w:tcPr>
            <w:tcW w:type="dxa" w:w="30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Director, Biostatistics</w:t>
            </w:r>
          </w:p>
        </w:tc>
        <w:tc>
          <w:tcPr>
            <w:tcW w:type="dxa" w:w="30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Statistical</w:t>
            </w:r>
          </w:p>
        </w:tc>
      </w:tr>
      <w:tr>
        <w:tc>
          <w:tcPr>
            <w:tcW w:type="dxa" w:w="36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Priya R. Nair, PhD</w:t>
            </w:r>
          </w:p>
        </w:tc>
        <w:tc>
          <w:tcPr>
            <w:tcW w:type="dxa" w:w="30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Director, CMC Regulatory</w:t>
            </w:r>
          </w:p>
        </w:tc>
        <w:tc>
          <w:tcPr>
            <w:tcW w:type="dxa" w:w="30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CMC</w:t>
            </w:r>
          </w:p>
        </w:tc>
      </w:tr>
      <w:tr>
        <w:tc>
          <w:tcPr>
            <w:tcW w:type="dxa" w:w="36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James F. Abrams, PhD</w:t>
            </w:r>
          </w:p>
        </w:tc>
        <w:tc>
          <w:tcPr>
            <w:tcW w:type="dxa" w:w="30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Director, Translational Science</w:t>
            </w:r>
          </w:p>
        </w:tc>
        <w:tc>
          <w:tcPr>
            <w:tcW w:type="dxa" w:w="30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Biomarkers/CDx</w:t>
            </w:r>
          </w:p>
        </w:tc>
      </w:tr>
    </w:tbl>
    <w:p>
      <w:pPr>
        <w:spacing w:before="0" w:after="80"/>
      </w:pPr>
      <w:r>
        <w:t xml:space="preserve"/>
      </w:r>
    </w:p>
    <w:p>
      <w:pPr>
        <w:pStyle w:val="Heading2"/>
        <w:spacing w:before="240" w:after="80"/>
      </w:pPr>
      <w:r>
        <w:rPr>
          <w:rFonts w:ascii="Arial" w:cs="Arial" w:eastAsia="Arial" w:hAnsi="Arial"/>
          <w:b/>
          <w:bCs/>
          <w:color w:val="4A6FA5"/>
          <w:sz w:val="22"/>
          <w:szCs w:val="22"/>
        </w:rPr>
        <w:t xml:space="preserve">5.2 Requested FDA Attendees</w:t>
      </w:r>
    </w:p>
    <w:p>
      <w:pPr>
        <w:pStyle w:val="ListParagraph"/>
        <w:numPr>
          <w:ilvl w:val="0"/>
          <w:numId w:val="2"/>
        </w:numPr>
        <w:spacing w:before="40" w:after="40" w:line="276"/>
      </w:pPr>
      <w:r>
        <w:rPr>
          <w:rFonts w:ascii="Arial" w:cs="Arial" w:eastAsia="Arial" w:hAnsi="Arial"/>
          <w:color w:val="1A1A1A"/>
          <w:sz w:val="20"/>
          <w:szCs w:val="20"/>
        </w:rPr>
        <w:t xml:space="preserve">Project Manager and Lead Regulatory Project Manager, Oncology Center of Excellence</w:t>
      </w:r>
    </w:p>
    <w:p>
      <w:pPr>
        <w:pStyle w:val="ListParagraph"/>
        <w:numPr>
          <w:ilvl w:val="0"/>
          <w:numId w:val="2"/>
        </w:numPr>
        <w:spacing w:before="40" w:after="40" w:line="276"/>
      </w:pPr>
      <w:r>
        <w:rPr>
          <w:rFonts w:ascii="Arial" w:cs="Arial" w:eastAsia="Arial" w:hAnsi="Arial"/>
          <w:color w:val="1A1A1A"/>
          <w:sz w:val="20"/>
          <w:szCs w:val="20"/>
        </w:rPr>
        <w:t xml:space="preserve">Medical Officer, Division of Oncology Products 2</w:t>
      </w:r>
    </w:p>
    <w:p>
      <w:pPr>
        <w:pStyle w:val="ListParagraph"/>
        <w:numPr>
          <w:ilvl w:val="0"/>
          <w:numId w:val="2"/>
        </w:numPr>
        <w:spacing w:before="40" w:after="40" w:line="276"/>
      </w:pPr>
      <w:r>
        <w:rPr>
          <w:rFonts w:ascii="Arial" w:cs="Arial" w:eastAsia="Arial" w:hAnsi="Arial"/>
          <w:color w:val="1A1A1A"/>
          <w:sz w:val="20"/>
          <w:szCs w:val="20"/>
        </w:rPr>
        <w:t xml:space="preserve">Pharmacologist/Toxicologist, Office of Oncology Products</w:t>
      </w:r>
    </w:p>
    <w:p>
      <w:pPr>
        <w:pStyle w:val="ListParagraph"/>
        <w:numPr>
          <w:ilvl w:val="0"/>
          <w:numId w:val="2"/>
        </w:numPr>
        <w:spacing w:before="40" w:after="40" w:line="276"/>
      </w:pPr>
      <w:r>
        <w:rPr>
          <w:rFonts w:ascii="Arial" w:cs="Arial" w:eastAsia="Arial" w:hAnsi="Arial"/>
          <w:color w:val="1A1A1A"/>
          <w:sz w:val="20"/>
          <w:szCs w:val="20"/>
        </w:rPr>
        <w:t xml:space="preserve">Biostatistician, Division of Biometrics VII</w:t>
      </w:r>
    </w:p>
    <w:p>
      <w:pPr>
        <w:pStyle w:val="ListParagraph"/>
        <w:numPr>
          <w:ilvl w:val="0"/>
          <w:numId w:val="2"/>
        </w:numPr>
        <w:spacing w:before="40" w:after="40" w:line="276"/>
      </w:pPr>
      <w:r>
        <w:rPr>
          <w:rFonts w:ascii="Arial" w:cs="Arial" w:eastAsia="Arial" w:hAnsi="Arial"/>
          <w:color w:val="1A1A1A"/>
          <w:sz w:val="20"/>
          <w:szCs w:val="20"/>
        </w:rPr>
        <w:t xml:space="preserve">Clinical Pharmacology Reviewer</w:t>
      </w:r>
    </w:p>
    <w:p>
      <w:pPr>
        <w:pStyle w:val="ListParagraph"/>
        <w:numPr>
          <w:ilvl w:val="0"/>
          <w:numId w:val="2"/>
        </w:numPr>
        <w:spacing w:before="40" w:after="40" w:line="276"/>
      </w:pPr>
      <w:r>
        <w:rPr>
          <w:rFonts w:ascii="Arial" w:cs="Arial" w:eastAsia="Arial" w:hAnsi="Arial"/>
          <w:color w:val="1A1A1A"/>
          <w:sz w:val="20"/>
          <w:szCs w:val="20"/>
        </w:rPr>
        <w:t xml:space="preserve">CMC Reviewer (as needed)</w:t>
      </w:r>
    </w:p>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6. REGULATORY HISTORY</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400"/>
      </w:tblGrid>
      <w:tr>
        <w:tc>
          <w:tcPr>
            <w:tcW w:type="dxa" w:w="216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Date</w:t>
            </w:r>
          </w:p>
        </w:tc>
        <w:tc>
          <w:tcPr>
            <w:tcW w:type="dxa" w:w="216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Submission Type</w:t>
            </w:r>
          </w:p>
        </w:tc>
        <w:tc>
          <w:tcPr>
            <w:tcW w:type="dxa" w:w="5400"/>
            <w:tcBorders>
              <w:top w:val="single" w:color="D0D7E3" w:sz="1"/>
              <w:left w:val="single" w:color="D0D7E3" w:sz="1"/>
              <w:bottom w:val="single" w:color="D0D7E3" w:sz="1"/>
              <w:right w:val="single" w:color="D0D7E3" w:sz="1"/>
            </w:tcBorders>
            <w:shd w:fill="1B3A6B" w:val="clear"/>
            <w:tcMar>
              <w:top w:type="dxa" w:w="100"/>
              <w:left w:type="dxa" w:w="140"/>
              <w:bottom w:type="dxa" w:w="100"/>
              <w:right w:type="dxa" w:w="140"/>
            </w:tcMar>
          </w:tcPr>
          <w:p>
            <w:r>
              <w:rPr>
                <w:rFonts w:ascii="Arial" w:cs="Arial" w:eastAsia="Arial" w:hAnsi="Arial"/>
                <w:b/>
                <w:bCs/>
                <w:color w:val="FFFFFF"/>
                <w:sz w:val="18"/>
                <w:szCs w:val="18"/>
              </w:rPr>
              <w:t xml:space="preserve">Summary</w:t>
            </w:r>
          </w:p>
        </w:tc>
      </w:tr>
      <w:tr>
        <w:tc>
          <w:tcPr>
            <w:tcW w:type="dxa" w:w="21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Jan 15, 2023</w:t>
            </w:r>
          </w:p>
        </w:tc>
        <w:tc>
          <w:tcPr>
            <w:tcW w:type="dxa" w:w="21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IND 123456 (Initial)</w:t>
            </w:r>
          </w:p>
        </w:tc>
        <w:tc>
          <w:tcPr>
            <w:tcW w:type="dxa" w:w="5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IND submitted; Phase 1 CRV-001 dose-escalation in solid tumors</w:t>
            </w:r>
          </w:p>
        </w:tc>
      </w:tr>
      <w:tr>
        <w:tc>
          <w:tcPr>
            <w:tcW w:type="dxa" w:w="21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Mar 02, 2023</w:t>
            </w:r>
          </w:p>
        </w:tc>
        <w:tc>
          <w:tcPr>
            <w:tcW w:type="dxa" w:w="21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IND</w:t>
            </w:r>
          </w:p>
        </w:tc>
        <w:tc>
          <w:tcPr>
            <w:tcW w:type="dxa" w:w="5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FDA study may proceed letter received (30-day review)</w:t>
            </w:r>
          </w:p>
        </w:tc>
      </w:tr>
      <w:tr>
        <w:tc>
          <w:tcPr>
            <w:tcW w:type="dxa" w:w="21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Aug 10, 2024</w:t>
            </w:r>
          </w:p>
        </w:tc>
        <w:tc>
          <w:tcPr>
            <w:tcW w:type="dxa" w:w="21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IND Amendment</w:t>
            </w:r>
          </w:p>
        </w:tc>
        <w:tc>
          <w:tcPr>
            <w:tcW w:type="dxa" w:w="5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Protocol amendment to add dMMR/MSI-H mCRC expansion cohort (Part B)</w:t>
            </w:r>
          </w:p>
        </w:tc>
      </w:tr>
      <w:tr>
        <w:tc>
          <w:tcPr>
            <w:tcW w:type="dxa" w:w="21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Oct 05, 2024</w:t>
            </w:r>
          </w:p>
        </w:tc>
        <w:tc>
          <w:tcPr>
            <w:tcW w:type="dxa" w:w="21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Type C Written Request</w:t>
            </w:r>
          </w:p>
        </w:tc>
        <w:tc>
          <w:tcPr>
            <w:tcW w:type="dxa" w:w="5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FDA response: BTD not granted; insufficient data at time of request; encourages resubmission post Phase 1</w:t>
            </w:r>
          </w:p>
        </w:tc>
      </w:tr>
      <w:tr>
        <w:tc>
          <w:tcPr>
            <w:tcW w:type="dxa" w:w="216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Mar 16, 2026</w:t>
            </w:r>
          </w:p>
        </w:tc>
        <w:tc>
          <w:tcPr>
            <w:tcW w:type="dxa" w:w="2160"/>
            <w:tcBorders>
              <w:top w:val="single" w:color="D0D7E3" w:sz="1"/>
              <w:left w:val="single" w:color="D0D7E3" w:sz="1"/>
              <w:bottom w:val="single" w:color="D0D7E3" w:sz="1"/>
              <w:right w:val="single" w:color="D0D7E3" w:sz="1"/>
            </w:tcBorders>
            <w:shd w:fill="F2F4F8" w:val="clear"/>
            <w:tcMar>
              <w:top w:type="dxa" w:w="100"/>
              <w:left w:type="dxa" w:w="140"/>
              <w:bottom w:type="dxa" w:w="100"/>
              <w:right w:type="dxa" w:w="140"/>
            </w:tcMar>
          </w:tcPr>
          <w:p>
            <w:r>
              <w:rPr>
                <w:rFonts w:ascii="Arial" w:cs="Arial" w:eastAsia="Arial" w:hAnsi="Arial"/>
                <w:b w:val="false"/>
                <w:bCs w:val="false"/>
                <w:color w:val="1A1A1A"/>
                <w:sz w:val="18"/>
                <w:szCs w:val="18"/>
              </w:rPr>
              <w:t xml:space="preserve">Type B EOP1 Meeting Request</w:t>
            </w:r>
          </w:p>
        </w:tc>
        <w:tc>
          <w:tcPr>
            <w:tcW w:type="dxa" w:w="5400"/>
            <w:tcBorders>
              <w:top w:val="single" w:color="D0D7E3" w:sz="1"/>
              <w:left w:val="single" w:color="D0D7E3" w:sz="1"/>
              <w:bottom w:val="single" w:color="D0D7E3" w:sz="1"/>
              <w:right w:val="single" w:color="D0D7E3" w:sz="1"/>
            </w:tcBorders>
            <w:shd w:fill="FFFFFF" w:val="clear"/>
            <w:tcMar>
              <w:top w:type="dxa" w:w="100"/>
              <w:left w:type="dxa" w:w="140"/>
              <w:bottom w:type="dxa" w:w="100"/>
              <w:right w:type="dxa" w:w="140"/>
            </w:tcMar>
          </w:tcPr>
          <w:p>
            <w:r>
              <w:rPr>
                <w:rFonts w:ascii="Arial" w:cs="Arial" w:eastAsia="Arial" w:hAnsi="Arial"/>
                <w:b w:val="false"/>
                <w:bCs w:val="false"/>
                <w:color w:val="1A1A1A"/>
                <w:sz w:val="18"/>
                <w:szCs w:val="18"/>
              </w:rPr>
              <w:t xml:space="preserve">This submission (current)</w:t>
            </w:r>
          </w:p>
        </w:tc>
      </w:tr>
    </w:tbl>
    <w:p>
      <w:pPr>
        <w:spacing w:before="0" w:after="100"/>
      </w:pPr>
      <w:r>
        <w:t xml:space="preserve"/>
      </w:r>
    </w:p>
    <w:p>
      <w:pPr>
        <w:pStyle w:val="Heading1"/>
        <w:pBdr>
          <w:bottom w:val="single" w:color="1B3A6B" w:sz="4" w:space="4"/>
        </w:pBdr>
        <w:spacing w:before="320" w:after="120"/>
      </w:pPr>
      <w:r>
        <w:rPr>
          <w:rFonts w:ascii="Arial" w:cs="Arial" w:eastAsia="Arial" w:hAnsi="Arial"/>
          <w:b/>
          <w:bCs/>
          <w:color w:val="1B3A6B"/>
          <w:sz w:val="28"/>
          <w:szCs w:val="28"/>
        </w:rPr>
        <w:t xml:space="preserve">7. ENCLOSED DOCUMENTS</w:t>
      </w:r>
    </w:p>
    <w:p>
      <w:pPr>
        <w:spacing w:before="80" w:after="80" w:line="280"/>
        <w:jc w:val="left"/>
      </w:pPr>
      <w:r>
        <w:rPr>
          <w:rFonts w:ascii="Arial" w:cs="Arial" w:eastAsia="Arial" w:hAnsi="Arial"/>
          <w:color w:val="1A1A1A"/>
          <w:sz w:val="20"/>
          <w:szCs w:val="20"/>
        </w:rPr>
        <w:t xml:space="preserve">The following documents are submitted with this meeting request as Appendices:</w:t>
      </w:r>
    </w:p>
    <w:p>
      <w:pPr>
        <w:pStyle w:val="ListParagraph"/>
        <w:numPr>
          <w:ilvl w:val="0"/>
          <w:numId w:val="2"/>
        </w:numPr>
        <w:spacing w:before="40" w:after="40" w:line="276"/>
      </w:pPr>
      <w:r>
        <w:rPr>
          <w:rFonts w:ascii="Arial" w:cs="Arial" w:eastAsia="Arial" w:hAnsi="Arial"/>
          <w:color w:val="1A1A1A"/>
          <w:sz w:val="20"/>
          <w:szCs w:val="20"/>
        </w:rPr>
        <w:t xml:space="preserve">Appendix A: Investigator's Brochure (IB), Version 4.0 (January 2026)</w:t>
      </w:r>
    </w:p>
    <w:p>
      <w:pPr>
        <w:pStyle w:val="ListParagraph"/>
        <w:numPr>
          <w:ilvl w:val="0"/>
          <w:numId w:val="2"/>
        </w:numPr>
        <w:spacing w:before="40" w:after="40" w:line="276"/>
      </w:pPr>
      <w:r>
        <w:rPr>
          <w:rFonts w:ascii="Arial" w:cs="Arial" w:eastAsia="Arial" w:hAnsi="Arial"/>
          <w:color w:val="1A1A1A"/>
          <w:sz w:val="20"/>
          <w:szCs w:val="20"/>
        </w:rPr>
        <w:t xml:space="preserve">Appendix B: Phase 1 Study Report Summary (Study CRV-001, Data Cutoff Dec 31, 2025)</w:t>
      </w:r>
    </w:p>
    <w:p>
      <w:pPr>
        <w:pStyle w:val="ListParagraph"/>
        <w:numPr>
          <w:ilvl w:val="0"/>
          <w:numId w:val="2"/>
        </w:numPr>
        <w:spacing w:before="40" w:after="40" w:line="276"/>
      </w:pPr>
      <w:r>
        <w:rPr>
          <w:rFonts w:ascii="Arial" w:cs="Arial" w:eastAsia="Arial" w:hAnsi="Arial"/>
          <w:color w:val="1A1A1A"/>
          <w:sz w:val="20"/>
          <w:szCs w:val="20"/>
        </w:rPr>
        <w:t xml:space="preserve">Appendix C: Phase 2 Protocol Synopsis (CERVIMAB-CRC-002, Version 1.0, March 2026)</w:t>
      </w:r>
    </w:p>
    <w:p>
      <w:pPr>
        <w:pStyle w:val="ListParagraph"/>
        <w:numPr>
          <w:ilvl w:val="0"/>
          <w:numId w:val="2"/>
        </w:numPr>
        <w:spacing w:before="40" w:after="40" w:line="276"/>
      </w:pPr>
      <w:r>
        <w:rPr>
          <w:rFonts w:ascii="Arial" w:cs="Arial" w:eastAsia="Arial" w:hAnsi="Arial"/>
          <w:color w:val="1A1A1A"/>
          <w:sz w:val="20"/>
          <w:szCs w:val="20"/>
        </w:rPr>
        <w:t xml:space="preserve">Appendix D: Proposed Phase 2 Statistical Analysis Plan (SAP) outline</w:t>
      </w:r>
    </w:p>
    <w:p>
      <w:pPr>
        <w:pStyle w:val="ListParagraph"/>
        <w:numPr>
          <w:ilvl w:val="0"/>
          <w:numId w:val="2"/>
        </w:numPr>
        <w:spacing w:before="40" w:after="40" w:line="276"/>
      </w:pPr>
      <w:r>
        <w:rPr>
          <w:rFonts w:ascii="Arial" w:cs="Arial" w:eastAsia="Arial" w:hAnsi="Arial"/>
          <w:color w:val="1A1A1A"/>
          <w:sz w:val="20"/>
          <w:szCs w:val="20"/>
        </w:rPr>
        <w:t xml:space="preserve">Appendix E: Nonclinical Summary (GLP Toxicology and DART studies)</w:t>
      </w:r>
    </w:p>
    <w:p>
      <w:pPr>
        <w:pStyle w:val="ListParagraph"/>
        <w:numPr>
          <w:ilvl w:val="0"/>
          <w:numId w:val="2"/>
        </w:numPr>
        <w:spacing w:before="40" w:after="40" w:line="276"/>
      </w:pPr>
      <w:r>
        <w:rPr>
          <w:rFonts w:ascii="Arial" w:cs="Arial" w:eastAsia="Arial" w:hAnsi="Arial"/>
          <w:color w:val="1A1A1A"/>
          <w:sz w:val="20"/>
          <w:szCs w:val="20"/>
        </w:rPr>
        <w:t xml:space="preserve">Appendix F: CMC Overview and Comparability Data Summary</w:t>
      </w:r>
    </w:p>
    <w:p>
      <w:pPr>
        <w:pStyle w:val="ListParagraph"/>
        <w:numPr>
          <w:ilvl w:val="0"/>
          <w:numId w:val="2"/>
        </w:numPr>
        <w:spacing w:before="40" w:after="40" w:line="276"/>
      </w:pPr>
      <w:r>
        <w:rPr>
          <w:rFonts w:ascii="Arial" w:cs="Arial" w:eastAsia="Arial" w:hAnsi="Arial"/>
          <w:color w:val="1A1A1A"/>
          <w:sz w:val="20"/>
          <w:szCs w:val="20"/>
        </w:rPr>
        <w:t xml:space="preserve">Appendix G: Biomarker and CDx Development Plan</w:t>
      </w:r>
    </w:p>
    <w:p>
      <w:pPr>
        <w:spacing w:before="0" w:after="200"/>
      </w:pPr>
      <w:r>
        <w:t xml:space="preserve"/>
      </w:r>
    </w:p>
    <w:p>
      <w:pPr>
        <w:pBdr>
          <w:top w:val="single" w:color="D0D7E3" w:sz="4" w:space="4"/>
        </w:pBdr>
        <w:spacing w:before="200" w:after="40"/>
      </w:pPr>
      <w:r>
        <w:rPr>
          <w:rFonts w:ascii="Arial" w:cs="Arial" w:eastAsia="Arial" w:hAnsi="Arial"/>
          <w:sz w:val="20"/>
          <w:szCs w:val="20"/>
        </w:rPr>
        <w:t xml:space="preserve">Respectfully submitted,</w:t>
      </w:r>
    </w:p>
    <w:p>
      <w:pPr>
        <w:spacing w:before="0" w:after="300"/>
      </w:pPr>
      <w:r>
        <w:t xml:space="preserve"/>
      </w:r>
    </w:p>
    <w:p>
      <w:pPr>
        <w:spacing w:before="80" w:after="80" w:line="280"/>
        <w:jc w:val="left"/>
      </w:pPr>
      <w:r>
        <w:rPr>
          <w:rFonts w:ascii="Arial" w:cs="Arial" w:eastAsia="Arial" w:hAnsi="Arial"/>
          <w:b/>
          <w:bCs/>
          <w:color w:val="1A1A1A"/>
          <w:sz w:val="20"/>
          <w:szCs w:val="20"/>
        </w:rPr>
        <w:t xml:space="preserve">Jane M. Porter, PhD</w:t>
      </w:r>
    </w:p>
    <w:p>
      <w:pPr>
        <w:spacing w:before="80" w:after="80" w:line="280"/>
        <w:jc w:val="left"/>
      </w:pPr>
      <w:r>
        <w:rPr>
          <w:rFonts w:ascii="Arial" w:cs="Arial" w:eastAsia="Arial" w:hAnsi="Arial"/>
          <w:color w:val="1A1A1A"/>
          <w:sz w:val="20"/>
          <w:szCs w:val="20"/>
        </w:rPr>
        <w:t xml:space="preserve">Vice President, Regulatory Affairs</w:t>
      </w:r>
    </w:p>
    <w:p>
      <w:pPr>
        <w:spacing w:before="80" w:after="80" w:line="280"/>
        <w:jc w:val="left"/>
      </w:pPr>
      <w:r>
        <w:rPr>
          <w:rFonts w:ascii="Arial" w:cs="Arial" w:eastAsia="Arial" w:hAnsi="Arial"/>
          <w:color w:val="1A1A1A"/>
          <w:sz w:val="20"/>
          <w:szCs w:val="20"/>
        </w:rPr>
        <w:t xml:space="preserve">OncoBioLogics, Inc.</w:t>
      </w:r>
    </w:p>
    <w:p>
      <w:pPr>
        <w:spacing w:before="80" w:after="80" w:line="280"/>
        <w:jc w:val="left"/>
      </w:pPr>
      <w:r>
        <w:rPr>
          <w:rFonts w:ascii="Arial" w:cs="Arial" w:eastAsia="Arial" w:hAnsi="Arial"/>
          <w:color w:val="1A1A1A"/>
          <w:sz w:val="20"/>
          <w:szCs w:val="20"/>
        </w:rPr>
        <w:t xml:space="preserve">March 16,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D7E3" w:sz="4" w:space="4"/>
      </w:pBdr>
      <w:tabs>
        <w:tab w:val="right" w:pos="9720"/>
      </w:tabs>
    </w:pPr>
    <w:r>
      <w:rPr>
        <w:rFonts w:ascii="Arial" w:cs="Arial" w:eastAsia="Arial" w:hAnsi="Arial"/>
        <w:color w:val="555555"/>
        <w:sz w:val="16"/>
        <w:szCs w:val="16"/>
      </w:rPr>
      <w:t xml:space="preserve">OncoBioLogics, Inc.  |  March 2026</w:t>
    </w:r>
    <w:r>
      <w:rPr>
        <w:rFonts w:ascii="Arial" w:cs="Arial" w:eastAsia="Arial" w:hAnsi="Arial"/>
        <w:color w:val="555555"/>
        <w:sz w:val="16"/>
        <w:szCs w:val="16"/>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6000"/>
      <w:gridCol w:w="3720"/>
    </w:tblGrid>
    <w:tr>
      <w:tc>
        <w:tcPr>
          <w:tcW w:type="dxa" w:w="6000"/>
          <w:tcBorders>
            <w:top w:val="none"/>
            <w:left w:val="none"/>
            <w:bottom w:val="single" w:color="1B3A6B" w:sz="6"/>
            <w:right w:val="none"/>
          </w:tcBorders>
          <w:tcMar>
            <w:top w:type="dxa" w:w="60"/>
            <w:left w:type="dxa" w:w="0"/>
            <w:bottom w:type="dxa" w:w="60"/>
            <w:right w:type="dxa" w:w="120"/>
          </w:tcMar>
        </w:tcPr>
        <w:p>
          <w:r>
            <w:rPr>
              <w:rFonts w:ascii="Arial" w:cs="Arial" w:eastAsia="Arial" w:hAnsi="Arial"/>
              <w:b/>
              <w:bCs/>
              <w:color w:val="1B3A6B"/>
              <w:sz w:val="16"/>
              <w:szCs w:val="16"/>
            </w:rPr>
            <w:t xml:space="preserve">CERVIMAB (anti-PD-1)  |  IND 123456  |  Type B EOP1 Meeting Request</w:t>
          </w:r>
        </w:p>
      </w:tc>
      <w:tc>
        <w:tcPr>
          <w:tcW w:type="dxa" w:w="3720"/>
          <w:tcBorders>
            <w:top w:val="none"/>
            <w:left w:val="none"/>
            <w:bottom w:val="single" w:color="1B3A6B" w:sz="6"/>
            <w:right w:val="none"/>
          </w:tcBorders>
          <w:tcMar>
            <w:top w:type="dxa" w:w="60"/>
            <w:left w:type="dxa" w:w="120"/>
            <w:bottom w:type="dxa" w:w="60"/>
            <w:right w:type="dxa" w:w="0"/>
          </w:tcMar>
        </w:tcPr>
        <w:p>
          <w:pPr>
            <w:jc w:val="right"/>
          </w:pPr>
          <w:r>
            <w:rPr>
              <w:rFonts w:ascii="Arial" w:cs="Arial" w:eastAsia="Arial" w:hAnsi="Arial"/>
              <w:b/>
              <w:bCs/>
              <w:color w:val="C0392B"/>
              <w:sz w:val="16"/>
              <w:szCs w:val="16"/>
            </w:rPr>
            <w:t xml:space="preserve">CONFIDENTIAL</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20"/>
      <w:outlineLvl w:val="0"/>
    </w:pPr>
    <w:rPr>
      <w:rFonts w:ascii="Arial" w:cs="Arial" w:eastAsia="Arial" w:hAnsi="Arial"/>
      <w:b/>
      <w:bCs/>
      <w:color w:val="1B3A6B"/>
      <w:sz w:val="28"/>
      <w:szCs w:val="28"/>
    </w:rPr>
  </w:style>
  <w:style w:type="paragraph" w:styleId="Heading2">
    <w:name w:val="Heading 2"/>
    <w:basedOn w:val="Normal"/>
    <w:next w:val="Normal"/>
    <w:qFormat/>
    <w:pPr>
      <w:spacing w:before="240" w:after="80"/>
      <w:outlineLvl w:val="1"/>
    </w:pPr>
    <w:rPr>
      <w:rFonts w:ascii="Arial" w:cs="Arial" w:eastAsia="Arial" w:hAnsi="Arial"/>
      <w:b/>
      <w:bCs/>
      <w:color w:val="4A6FA5"/>
      <w:sz w:val="22"/>
      <w:szCs w:val="22"/>
    </w:rPr>
  </w:style>
  <w:style w:type="paragraph" w:styleId="Heading3">
    <w:name w:val="Heading 3"/>
    <w:basedOn w:val="Normal"/>
    <w:next w:val="Normal"/>
    <w:qFormat/>
    <w:pPr>
      <w:spacing w:before="160" w:after="60"/>
      <w:outlineLvl w:val="2"/>
    </w:pPr>
    <w:rPr>
      <w:rFonts w:ascii="Arial" w:cs="Arial" w:eastAsia="Arial" w:hAnsi="Arial"/>
      <w:b/>
      <w:bCs/>
      <w:color w:val="555555"/>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2026-03-16T13:46:57.545Z</dcterms:created>
  <dcterms:modified xsi:type="dcterms:W3CDTF">2026-03-16T13:46:57.546Z</dcterms:modified>
</cp:coreProperties>
</file>

<file path=docProps/custom.xml><?xml version="1.0" encoding="utf-8"?>
<Properties xmlns="http://schemas.openxmlformats.org/officeDocument/2006/custom-properties" xmlns:vt="http://schemas.openxmlformats.org/officeDocument/2006/docPropsVTypes"/>
</file>