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jc w:val="center"/>
      </w:pPr>
      <w:r>
        <w:rPr>
          <w:rFonts w:ascii="Arial" w:cs="Arial" w:eastAsia="Arial" w:hAnsi="Arial"/>
          <w:b/>
          <w:bCs/>
          <w:color w:val="1F3864"/>
          <w:sz w:val="22"/>
          <w:szCs w:val="22"/>
        </w:rPr>
        <w:t xml:space="preserve">VANGUARD ONCOLOGY THERAPEUTICS, INC.</w:t>
      </w:r>
    </w:p>
    <w:p>
      <w:pPr>
        <w:spacing w:before="60" w:after="60"/>
        <w:jc w:val="center"/>
      </w:pPr>
      <w:r>
        <w:rPr>
          <w:rFonts w:ascii="Arial" w:cs="Arial" w:eastAsia="Arial" w:hAnsi="Arial"/>
          <w:color w:val="595959"/>
          <w:sz w:val="20"/>
          <w:szCs w:val="20"/>
        </w:rPr>
        <w:t xml:space="preserve">Drug Metabolism and Pharmacokinetics (DMPK)</w:t>
      </w:r>
    </w:p>
    <w:p>
      <w:pPr>
        <w:spacing w:before="60" w:after="60"/>
      </w:pPr>
      <w:r>
        <w:t xml:space="preserve"/>
      </w:r>
    </w:p>
    <w:p>
      <w:pPr>
        <w:pBdr>
          <w:bottom w:val="single" w:color="1F3864" w:sz="6" w:space="6"/>
        </w:pBdr>
        <w:spacing w:before="60" w:after="180"/>
        <w:jc w:val="center"/>
      </w:pPr>
      <w:r>
        <w:t xml:space="preserve"/>
      </w:r>
    </w:p>
    <w:p>
      <w:pPr>
        <w:spacing w:before="180" w:after="60"/>
        <w:jc w:val="center"/>
      </w:pPr>
      <w:r>
        <w:rPr>
          <w:rFonts w:ascii="Arial" w:cs="Arial" w:eastAsia="Arial" w:hAnsi="Arial"/>
          <w:b/>
          <w:bCs/>
          <w:color w:val="1F3864"/>
          <w:sz w:val="32"/>
          <w:szCs w:val="32"/>
        </w:rPr>
        <w:t xml:space="preserve">IN VITRO DRUG INTERACTION ASSESSMENT REPORT</w:t>
      </w:r>
    </w:p>
    <w:p>
      <w:pPr>
        <w:spacing w:before="60" w:after="60"/>
        <w:jc w:val="center"/>
      </w:pPr>
      <w:r>
        <w:rPr>
          <w:rFonts w:ascii="Arial" w:cs="Arial" w:eastAsia="Arial" w:hAnsi="Arial"/>
          <w:b/>
          <w:bCs/>
          <w:color w:val="2E5FA3"/>
          <w:sz w:val="24"/>
          <w:szCs w:val="24"/>
        </w:rPr>
        <w:t xml:space="preserve">CYP Enzyme Inhibition (Direct and Time-Dependent) and Induction</w:t>
      </w:r>
    </w:p>
    <w:p>
      <w:pPr>
        <w:spacing w:before="60" w:after="60"/>
      </w:pPr>
      <w:r>
        <w:t xml:space="preserve"/>
      </w:r>
    </w:p>
    <w:p>
      <w:pPr>
        <w:spacing w:before="60" w:after="60"/>
        <w:jc w:val="center"/>
      </w:pPr>
      <w:r>
        <w:rPr>
          <w:rFonts w:ascii="Arial" w:cs="Arial" w:eastAsia="Arial" w:hAnsi="Arial"/>
          <w:b/>
          <w:bCs/>
          <w:color w:val="1F3864"/>
          <w:sz w:val="22"/>
          <w:szCs w:val="22"/>
        </w:rPr>
        <w:t xml:space="preserve">Test Article: Cervimab</w:t>
      </w:r>
    </w:p>
    <w:p>
      <w:pPr>
        <w:spacing w:before="60" w:after="60"/>
        <w:jc w:val="center"/>
      </w:pPr>
      <w:r>
        <w:rPr>
          <w:rFonts w:ascii="Arial" w:cs="Arial" w:eastAsia="Arial" w:hAnsi="Arial"/>
          <w:color w:val="595959"/>
          <w:sz w:val="20"/>
          <w:szCs w:val="20"/>
        </w:rPr>
        <w:t xml:space="preserve">Fully Human IgG4 Anti-PD-1 Monoclonal Antibody</w:t>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tblHeader/>
        </w:trPr>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Information</w:t>
            </w:r>
          </w:p>
        </w:tc>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Report Number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VT-DMPK-004</w:t>
            </w:r>
          </w:p>
        </w:tc>
      </w:tr>
      <w:tr>
        <w:tc>
          <w:tcPr>
            <w:tcW w:type="dxa" w:w="3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Study Type</w:t>
            </w:r>
          </w:p>
        </w:tc>
        <w:tc>
          <w:tcPr>
            <w:tcW w:type="dxa" w:w="3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GLP-compliant in vitro DMPK / DDI package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Test Article Lot</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CRV-BDS-2024-07 (research-grade, ≥95% purity)</w:t>
            </w:r>
          </w:p>
        </w:tc>
      </w:tr>
      <w:tr>
        <w:tc>
          <w:tcPr>
            <w:tcW w:type="dxa" w:w="3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Report Date</w:t>
            </w:r>
          </w:p>
        </w:tc>
        <w:tc>
          <w:tcPr>
            <w:tcW w:type="dxa" w:w="3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March 5, 2025</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Study Director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[Study Director Name], Ph.D., DABT</w:t>
            </w:r>
          </w:p>
        </w:tc>
      </w:tr>
      <w:tr>
        <w:tc>
          <w:tcPr>
            <w:tcW w:type="dxa" w:w="3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Sponsor Contact</w:t>
            </w:r>
          </w:p>
        </w:tc>
        <w:tc>
          <w:tcPr>
            <w:tcW w:type="dxa" w:w="3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Jeremy [Surname], Director, Clinical Pharmacology &amp; DMPK</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Performing Laboratory</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[CRO Name, Address]</w:t>
            </w:r>
          </w:p>
        </w:tc>
      </w:tr>
      <w:tr>
        <w:tc>
          <w:tcPr>
            <w:tcW w:type="dxa" w:w="3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GLP Compliance</w:t>
            </w:r>
          </w:p>
        </w:tc>
        <w:tc>
          <w:tcPr>
            <w:tcW w:type="dxa" w:w="3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Yes — 21 CFR Part 58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Regulatory Basis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FDA DDI Guidance (2020); ICH M12 (2023); FDA M3(R2)</w:t>
            </w:r>
          </w:p>
        </w:tc>
      </w:tr>
    </w:tbl>
    <w:p>
      <w:pPr>
        <w:spacing w:before="60" w:after="60"/>
      </w:pPr>
      <w:r>
        <w:t xml:space="preserve"/>
      </w:r>
    </w:p>
    <w:p>
      <w:pPr>
        <w:spacing w:before="120" w:after="60"/>
        <w:jc w:val="center"/>
      </w:pPr>
      <w:r>
        <w:rPr>
          <w:rFonts w:ascii="Arial" w:cs="Arial" w:eastAsia="Arial" w:hAnsi="Arial"/>
          <w:b/>
          <w:bCs/>
          <w:color w:val="A50000"/>
          <w:sz w:val="20"/>
          <w:szCs w:val="20"/>
        </w:rPr>
        <w:t xml:space="preserve">CONFIDENTIAL — FOR REGULATORY SUBMISSION PURPOSES ONLY</w:t>
      </w:r>
    </w:p>
    <w:p>
      <w:r>
        <w:br w:type="page"/>
      </w:r>
    </w:p>
    <w:p>
      <w:pPr>
        <w:pStyle w:val="Heading1"/>
        <w:spacing w:before="240" w:after="120"/>
      </w:pPr>
      <w:r>
        <w:rPr>
          <w:rFonts w:ascii="Arial" w:cs="Arial" w:eastAsia="Arial" w:hAnsi="Arial"/>
          <w:b/>
          <w:bCs/>
          <w:color w:val="595959"/>
          <w:sz w:val="20"/>
          <w:szCs w:val="20"/>
        </w:rPr>
        <w:t xml:space="preserve">EXECUTIVE SUMMARY</w:t>
      </w:r>
    </w:p>
    <w:p>
      <w:pPr>
        <w:spacing w:before="60" w:after="60"/>
        <w:jc w:val="both"/>
      </w:pPr>
      <w:r>
        <w:rPr>
          <w:rFonts w:ascii="Arial" w:cs="Arial" w:eastAsia="Arial" w:hAnsi="Arial"/>
          <w:color w:val="000000"/>
          <w:sz w:val="20"/>
          <w:szCs w:val="20"/>
        </w:rPr>
        <w:t xml:space="preserve">This report presents the results of a comprehensive in vitro drug–drug interaction (DDI) assessment of cervimab, a fully human IgG4 monoclonal antibody targeting the Programmed Cell Death Protein 1 (PD-1) receptor. Studies were conducted in accordance with the U.S. FDA Guidance for Industry: In Vitro Drug Interaction Studies — Cytochrome P450 Enzyme- and Transporter-Mediated Drug Interactions (January 2020) and ICH M12: Drug Interaction Studies (2023), under 21 CFR Part 58 GLP conditions.</w:t>
      </w:r>
    </w:p>
    <w:p>
      <w:pPr>
        <w:spacing w:before="60" w:after="60"/>
        <w:jc w:val="both"/>
      </w:pPr>
      <w:r>
        <w:rPr>
          <w:rFonts w:ascii="Arial" w:cs="Arial" w:eastAsia="Arial" w:hAnsi="Arial"/>
          <w:color w:val="000000"/>
          <w:sz w:val="20"/>
          <w:szCs w:val="20"/>
        </w:rPr>
        <w:t xml:space="preserve">Cervimab was evaluated for: (1) direct (reversible) inhibition of CYP1A2, CYP2B6, CYP2C8, CYP2C9, CYP2C19, CYP2D6, and CYP3A4; (2) time-dependent (mechanism-based) inhibition of CYP3A4 and CYP2D6; and (3) mRNA induction of CYP1A2, CYP2B6, and CYP3A4 in primary human hepatocytes.</w:t>
      </w:r>
    </w:p>
    <w:p>
      <w:pPr>
        <w:spacing w:before="60" w:after="60"/>
      </w:pPr>
      <w:r>
        <w:t xml:space="preserve"/>
      </w:r>
    </w:p>
    <w:p>
      <w:pPr>
        <w:spacing w:before="60" w:after="60"/>
      </w:pPr>
      <w:r>
        <w:rPr>
          <w:rFonts w:ascii="Arial" w:cs="Arial" w:eastAsia="Arial" w:hAnsi="Arial"/>
          <w:b/>
          <w:bCs/>
          <w:color w:val="1F3864"/>
          <w:sz w:val="22"/>
          <w:szCs w:val="22"/>
        </w:rPr>
        <w:t xml:space="preserve">KEY FINDINGS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560"/>
        <w:gridCol w:w="200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CYPs Evaluated</w:t>
            </w:r>
          </w:p>
        </w:tc>
        <w:tc>
          <w:tcPr>
            <w:tcW w:type="dxa" w:w="1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Threshold Met?</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Clinical DDI Predicted?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 CYP Inhibition (IC50)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CYP1A2, 2B6, 2C8, 2C9, 2C19, 2D6, 3A4</w:t>
            </w:r>
          </w:p>
        </w:tc>
        <w:tc>
          <w:tcPr>
            <w:tcW w:type="dxa" w:w="156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(all IC50 &gt;100 μg/mL)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 not predicted</w:t>
            </w:r>
          </w:p>
        </w:tc>
      </w:tr>
      <w:tr>
        <w:tc>
          <w:tcPr>
            <w:tcW w:type="dxa" w:w="2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Time-Dependent Inhibition (TDI)</w:t>
            </w:r>
          </w:p>
        </w:tc>
        <w:tc>
          <w:tcPr>
            <w:tcW w:type="dxa" w:w="3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CYP3A4, CYP2D6</w:t>
            </w:r>
          </w:p>
        </w:tc>
        <w:tc>
          <w:tcPr>
            <w:tcW w:type="dxa" w:w="156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TDI detected</w:t>
            </w:r>
          </w:p>
        </w:tc>
        <w:tc>
          <w:tcPr>
            <w:tcW w:type="dxa" w:w="2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 — not predicted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CYP mRNA Induction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CYP1A2, CYP2B6, CYP3A4</w:t>
            </w:r>
          </w:p>
        </w:tc>
        <w:tc>
          <w:tcPr>
            <w:tcW w:type="dxa" w:w="156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induction &gt;1.5-fold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 not predicted</w:t>
            </w:r>
          </w:p>
        </w:tc>
      </w:tr>
      <w:tr>
        <w:tc>
          <w:tcPr>
            <w:tcW w:type="dxa" w:w="2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Cytokine-mediated indirect DDI (cDDI)</w:t>
            </w:r>
          </w:p>
        </w:tc>
        <w:tc>
          <w:tcPr>
            <w:tcW w:type="dxa" w:w="3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CYPs (indirect, in vivo mechanism)</w:t>
            </w:r>
          </w:p>
        </w:tc>
        <w:tc>
          <w:tcPr>
            <w:tcW w:type="dxa" w:w="15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bCs/>
                <w:color w:val="000000"/>
                <w:sz w:val="18"/>
                <w:szCs w:val="18"/>
              </w:rPr>
              <w:t xml:space="preserve">Not assessable in vitro</w:t>
            </w:r>
          </w:p>
        </w:tc>
        <w:tc>
          <w:tcPr>
            <w:tcW w:type="dxa" w:w="2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Possible — clinical study required</w:t>
            </w:r>
          </w:p>
        </w:tc>
      </w:tr>
    </w:tbl>
    <w:p>
      <w:pPr>
        <w:spacing w:before="60" w:after="60"/>
      </w:pPr>
      <w:r>
        <w:t xml:space="preserve"/>
      </w:r>
    </w:p>
    <w:p>
      <w:pPr>
        <w:spacing w:before="60" w:after="60"/>
        <w:jc w:val="both"/>
      </w:pPr>
      <w:r>
        <w:rPr>
          <w:rFonts w:ascii="Arial" w:cs="Arial" w:eastAsia="Arial" w:hAnsi="Arial"/>
          <w:color w:val="000000"/>
          <w:sz w:val="20"/>
          <w:szCs w:val="20"/>
        </w:rPr>
        <w:t xml:space="preserve">Overall Conclusion: Cervimab is not expected to cause clinically meaningful direct CYP inhibition or induction based on these in vitro data. The residual DDI risk pertains to indirect, cytokine-mediated CYP modulation secondary to immunologic activation in vivo, which will be characterized in the dedicated clinical DDI study (CRV-DDI-002).</w:t>
      </w:r>
    </w:p>
    <w:p>
      <w:r>
        <w:br w:type="page"/>
      </w:r>
    </w:p>
    <w:p>
      <w:pPr>
        <w:pStyle w:val="Heading1"/>
        <w:spacing w:before="240" w:after="120"/>
      </w:pPr>
      <w:r>
        <w:rPr>
          <w:rFonts w:ascii="Arial" w:cs="Arial" w:eastAsia="Arial" w:hAnsi="Arial"/>
          <w:b/>
          <w:bCs/>
          <w:color w:val="595959"/>
          <w:sz w:val="20"/>
          <w:szCs w:val="20"/>
        </w:rPr>
        <w:t xml:space="preserve">1. INTRODUCTION</w:t>
      </w:r>
    </w:p>
    <w:p>
      <w:pPr>
        <w:pStyle w:val="Heading2"/>
        <w:spacing w:before="240" w:after="120"/>
      </w:pPr>
      <w:r>
        <w:rPr>
          <w:rFonts w:ascii="Arial" w:cs="Arial" w:eastAsia="Arial" w:hAnsi="Arial"/>
          <w:b/>
          <w:bCs/>
          <w:color w:val="595959"/>
          <w:sz w:val="20"/>
          <w:szCs w:val="20"/>
        </w:rPr>
        <w:t xml:space="preserve">1.1 Test Article</w:t>
      </w:r>
    </w:p>
    <w:p>
      <w:pPr>
        <w:spacing w:before="60" w:after="60"/>
        <w:jc w:val="both"/>
      </w:pPr>
      <w:r>
        <w:rPr>
          <w:rFonts w:ascii="Arial" w:cs="Arial" w:eastAsia="Arial" w:hAnsi="Arial"/>
          <w:color w:val="000000"/>
          <w:sz w:val="20"/>
          <w:szCs w:val="20"/>
        </w:rPr>
        <w:t xml:space="preserve">Cervimab is a fully human immunoglobulin G4 (IgG4) monoclonal antibody (mAb) directed against PD-1. It has a molecular weight of approximately 148 kDa and contains the typical IgG4 structural features including the S228P hinge stabilization mutation to prevent Fab-arm exchange. Cervimab is formulated as a sterile liquid solution for IV infusion (150 mg/mL).</w:t>
      </w:r>
    </w:p>
    <w:p>
      <w:pPr>
        <w:spacing w:before="60" w:after="60"/>
        <w:jc w:val="both"/>
      </w:pPr>
      <w:r>
        <w:rPr>
          <w:rFonts w:ascii="Arial" w:cs="Arial" w:eastAsia="Arial" w:hAnsi="Arial"/>
          <w:color w:val="000000"/>
          <w:sz w:val="20"/>
          <w:szCs w:val="20"/>
        </w:rPr>
        <w:t xml:space="preserve">As a large-molecule biologic, cervimab is not a substrate of cytochrome P450 enzymes. It is eliminated primarily via protein catabolism (intracellular degradation to amino acids and small peptides) and via FcRn-mediated recycling, which prolongs its half-life to approximately 18 days. However, per FDA and ICH guidance, large molecules that modulate immune signaling pathways may indirectly affect CYP enzyme activity through cytokine-mediated mechanisms, and an in vitro assessment is required as a first-tier evaluation.</w:t>
      </w:r>
    </w:p>
    <w:p>
      <w:pPr>
        <w:pStyle w:val="Heading2"/>
        <w:spacing w:before="240" w:after="120"/>
      </w:pPr>
      <w:r>
        <w:rPr>
          <w:rFonts w:ascii="Arial" w:cs="Arial" w:eastAsia="Arial" w:hAnsi="Arial"/>
          <w:b/>
          <w:bCs/>
          <w:color w:val="595959"/>
          <w:sz w:val="20"/>
          <w:szCs w:val="20"/>
        </w:rPr>
        <w:t xml:space="preserve">1.2 Regulatory Basis for This Report</w:t>
      </w:r>
    </w:p>
    <w:p>
      <w:pPr>
        <w:pStyle w:val="ListParagraph"/>
        <w:numPr>
          <w:ilvl w:val="0"/>
          <w:numId w:val="2"/>
        </w:numPr>
        <w:spacing w:before="40" w:after="40"/>
      </w:pPr>
      <w:r>
        <w:rPr>
          <w:rFonts w:ascii="Arial" w:cs="Arial" w:eastAsia="Arial" w:hAnsi="Arial"/>
          <w:sz w:val="20"/>
          <w:szCs w:val="20"/>
        </w:rPr>
        <w:t xml:space="preserve">FDA Guidance for Industry: In Vitro Drug Interaction Studies — Cytochrome P450 Enzyme- and Transporter-Mediated Drug Interactions (January 2020)</w:t>
      </w:r>
    </w:p>
    <w:p>
      <w:pPr>
        <w:pStyle w:val="ListParagraph"/>
        <w:numPr>
          <w:ilvl w:val="0"/>
          <w:numId w:val="2"/>
        </w:numPr>
        <w:spacing w:before="40" w:after="40"/>
      </w:pPr>
      <w:r>
        <w:rPr>
          <w:rFonts w:ascii="Arial" w:cs="Arial" w:eastAsia="Arial" w:hAnsi="Arial"/>
          <w:sz w:val="20"/>
          <w:szCs w:val="20"/>
        </w:rPr>
        <w:t xml:space="preserve">ICH M12: Drug Interaction Studies (2023) — particularly the provisions for immunomodulatory biologics</w:t>
      </w:r>
    </w:p>
    <w:p>
      <w:pPr>
        <w:pStyle w:val="ListParagraph"/>
        <w:numPr>
          <w:ilvl w:val="0"/>
          <w:numId w:val="2"/>
        </w:numPr>
        <w:spacing w:before="40" w:after="40"/>
      </w:pPr>
      <w:r>
        <w:rPr>
          <w:rFonts w:ascii="Arial" w:cs="Arial" w:eastAsia="Arial" w:hAnsi="Arial"/>
          <w:sz w:val="20"/>
          <w:szCs w:val="20"/>
        </w:rPr>
        <w:t xml:space="preserve">FDA Guidance for Industry: Drug Interaction Studies — Study Design, Data Analysis, Implications for Dosing and Labeling (2017)</w:t>
      </w:r>
    </w:p>
    <w:p>
      <w:pPr>
        <w:pStyle w:val="ListParagraph"/>
        <w:numPr>
          <w:ilvl w:val="0"/>
          <w:numId w:val="2"/>
        </w:numPr>
        <w:spacing w:before="40" w:after="40"/>
      </w:pPr>
      <w:r>
        <w:rPr>
          <w:rFonts w:ascii="Arial" w:cs="Arial" w:eastAsia="Arial" w:hAnsi="Arial"/>
          <w:sz w:val="20"/>
          <w:szCs w:val="20"/>
        </w:rPr>
        <w:t xml:space="preserve">21 CFR Part 58: Good Laboratory Practice for Nonclinical Laboratory Studies</w:t>
      </w:r>
    </w:p>
    <w:p>
      <w:pPr>
        <w:pStyle w:val="ListParagraph"/>
        <w:numPr>
          <w:ilvl w:val="0"/>
          <w:numId w:val="2"/>
        </w:numPr>
        <w:spacing w:before="40" w:after="40"/>
      </w:pPr>
      <w:r>
        <w:rPr>
          <w:rFonts w:ascii="Arial" w:cs="Arial" w:eastAsia="Arial" w:hAnsi="Arial"/>
          <w:sz w:val="20"/>
          <w:szCs w:val="20"/>
        </w:rPr>
        <w:t xml:space="preserve">FDA M3(R2): Guidance on Nonclinical Safety Studies for the Conduct of Human Clinical Trials and Marketing Authorization for Pharmaceuticals (2010)</w:t>
      </w:r>
    </w:p>
    <w:p>
      <w:pPr>
        <w:pStyle w:val="Heading2"/>
        <w:spacing w:before="240" w:after="120"/>
      </w:pPr>
      <w:r>
        <w:rPr>
          <w:rFonts w:ascii="Arial" w:cs="Arial" w:eastAsia="Arial" w:hAnsi="Arial"/>
          <w:b/>
          <w:bCs/>
          <w:color w:val="595959"/>
          <w:sz w:val="20"/>
          <w:szCs w:val="20"/>
        </w:rPr>
        <w:t xml:space="preserve">1.3 Concentrations Selected for Testing</w:t>
      </w:r>
    </w:p>
    <w:p>
      <w:pPr>
        <w:spacing w:before="60" w:after="60"/>
        <w:jc w:val="both"/>
      </w:pPr>
      <w:r>
        <w:rPr>
          <w:rFonts w:ascii="Arial" w:cs="Arial" w:eastAsia="Arial" w:hAnsi="Arial"/>
          <w:color w:val="000000"/>
          <w:sz w:val="20"/>
          <w:szCs w:val="20"/>
        </w:rPr>
        <w:t xml:space="preserve">Per FDA guidance, the highest concentration of test article in the in vitro system should be set at the maximum feasible concentration or ≥50× the expected Cmax in humans (for reversible inhibition studies), whichever is lower. The projected clinical Cmax of cervimab at the 400 mg IV dose is approximately 80 μg/mL, based on PK data from CRV-101 (single-dose escalation study).</w:t>
      </w:r>
    </w:p>
    <w:p>
      <w:pPr>
        <w:spacing w:before="60" w:after="60"/>
        <w:jc w:val="both"/>
      </w:pPr>
      <w:r>
        <w:rPr>
          <w:rFonts w:ascii="Arial" w:cs="Arial" w:eastAsia="Arial" w:hAnsi="Arial"/>
          <w:color w:val="000000"/>
          <w:sz w:val="20"/>
          <w:szCs w:val="20"/>
        </w:rPr>
        <w:t xml:space="preserve">In vitro test concentrations for cervimab:</w:t>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Assay</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Concentration Range (μg/mL)</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Direct CYP inhibition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0.01, 0.1, 1, 10, 50, 100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Covers clinical Cmax (~80 μg/mL) and above; spans 4 log-units for IC50 determination</w:t>
            </w:r>
          </w:p>
        </w:tc>
      </w:tr>
      <w:tr>
        <w:tc>
          <w:tcPr>
            <w:tcW w:type="dxa" w:w="2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TDI (CYP3A4, CYP2D6)</w:t>
            </w:r>
          </w:p>
        </w:tc>
        <w:tc>
          <w:tcPr>
            <w:tcW w:type="dxa" w:w="2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 10, 50, 100 (preincubation)</w:t>
            </w:r>
          </w:p>
        </w:tc>
        <w:tc>
          <w:tcPr>
            <w:tcW w:type="dxa" w:w="2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Focused range around and above clinical Cmax</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mRNA Induction (hepatocytes)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1, 10, 50, 100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Bracketing clinical Cmax; maximum feasible biologic concentration in hepatocyte media</w:t>
            </w:r>
          </w:p>
        </w:tc>
      </w:tr>
    </w:tbl>
    <w:p>
      <w:r>
        <w:br w:type="page"/>
      </w:r>
    </w:p>
    <w:p>
      <w:pPr>
        <w:pStyle w:val="Heading1"/>
        <w:spacing w:before="240" w:after="120"/>
      </w:pPr>
      <w:r>
        <w:rPr>
          <w:rFonts w:ascii="Arial" w:cs="Arial" w:eastAsia="Arial" w:hAnsi="Arial"/>
          <w:b/>
          <w:bCs/>
          <w:color w:val="595959"/>
          <w:sz w:val="20"/>
          <w:szCs w:val="20"/>
        </w:rPr>
        <w:t xml:space="preserve">2. METHODS</w:t>
      </w:r>
    </w:p>
    <w:p>
      <w:pPr>
        <w:pStyle w:val="Heading2"/>
        <w:spacing w:before="240" w:after="120"/>
      </w:pPr>
      <w:r>
        <w:rPr>
          <w:rFonts w:ascii="Arial" w:cs="Arial" w:eastAsia="Arial" w:hAnsi="Arial"/>
          <w:b/>
          <w:bCs/>
          <w:color w:val="595959"/>
          <w:sz w:val="20"/>
          <w:szCs w:val="20"/>
        </w:rPr>
        <w:t xml:space="preserve">2.1 CYP Inhibition Studies — Direct (Reversible) Inhibition</w:t>
      </w:r>
    </w:p>
    <w:p>
      <w:pPr>
        <w:pStyle w:val="Heading3"/>
        <w:spacing w:before="240" w:after="120"/>
      </w:pPr>
      <w:r>
        <w:rPr>
          <w:rFonts w:ascii="Arial" w:cs="Arial" w:eastAsia="Arial" w:hAnsi="Arial"/>
          <w:b/>
          <w:bCs/>
          <w:color w:val="595959"/>
          <w:sz w:val="20"/>
          <w:szCs w:val="20"/>
        </w:rPr>
        <w:t xml:space="preserve">2.1.1 Test System</w:t>
      </w:r>
    </w:p>
    <w:p>
      <w:pPr>
        <w:spacing w:before="60" w:after="60"/>
        <w:jc w:val="both"/>
      </w:pPr>
      <w:r>
        <w:rPr>
          <w:rFonts w:ascii="Arial" w:cs="Arial" w:eastAsia="Arial" w:hAnsi="Arial"/>
          <w:color w:val="000000"/>
          <w:sz w:val="20"/>
          <w:szCs w:val="20"/>
        </w:rPr>
        <w:t xml:space="preserve">Pooled human liver microsomes (HLMs; 20 donors, mixed sex; lot #[XXXXX]; [Vendor name]) were used at a protein concentration of 0.1 mg/mL. Reactions were conducted in 100 mM potassium phosphate buffer (pH 7.4) supplemented with an NADPH-regenerating system (1 mM NADP+, 10 mM glucose-6-phosphate, 1 U/mL glucose-6-phosphate dehydrogenase, 10 mM MgCl₂).</w:t>
      </w:r>
    </w:p>
    <w:p>
      <w:pPr>
        <w:pStyle w:val="Heading3"/>
        <w:spacing w:before="240" w:after="120"/>
      </w:pPr>
      <w:r>
        <w:rPr>
          <w:rFonts w:ascii="Arial" w:cs="Arial" w:eastAsia="Arial" w:hAnsi="Arial"/>
          <w:b/>
          <w:bCs/>
          <w:color w:val="595959"/>
          <w:sz w:val="20"/>
          <w:szCs w:val="20"/>
        </w:rPr>
        <w:t xml:space="preserve">2.1.2 Probe Substrates and Positive Controls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360"/>
        <w:gridCol w:w="200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CYP Enzyme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Probe Substrate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Probe Concentration</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Metabolite Measured</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Positive Control Inhibitor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CYP1A2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Phenacetin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30 μM (Km)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Acetaminophen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Furafylline (10 μM)</w:t>
            </w:r>
          </w:p>
        </w:tc>
      </w:tr>
      <w:tr>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CYP2B6</w:t>
            </w:r>
          </w:p>
        </w:tc>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Bupropion</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80 μM (Km)</w:t>
            </w:r>
          </w:p>
        </w:tc>
        <w:tc>
          <w:tcPr>
            <w:tcW w:type="dxa" w:w="23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Hydroxybupropion</w:t>
            </w:r>
          </w:p>
        </w:tc>
        <w:tc>
          <w:tcPr>
            <w:tcW w:type="dxa" w:w="2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Ticlopidine (5 μM)</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CYP2C8</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Amodiaquine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 μM (Km)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Desethylamodiaquine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Montelukast (1 μM)</w:t>
            </w:r>
          </w:p>
        </w:tc>
      </w:tr>
      <w:tr>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CYP2C9</w:t>
            </w:r>
          </w:p>
        </w:tc>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Diclofenac</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 μM (Km)</w:t>
            </w:r>
          </w:p>
        </w:tc>
        <w:tc>
          <w:tcPr>
            <w:tcW w:type="dxa" w:w="23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4-OH Diclofenac</w:t>
            </w:r>
          </w:p>
        </w:tc>
        <w:tc>
          <w:tcPr>
            <w:tcW w:type="dxa" w:w="2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Sulfaphenazole (5 μM)</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CYP2C19</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S-Mephenytoin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40 μM (Km)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4'-OH Mephenytoin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(+)-N-3-benzylnirvanol (1 μM)</w:t>
            </w:r>
          </w:p>
        </w:tc>
      </w:tr>
      <w:tr>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CYP2D6</w:t>
            </w:r>
          </w:p>
        </w:tc>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Dextromethorphan</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5 μM (Km)</w:t>
            </w:r>
          </w:p>
        </w:tc>
        <w:tc>
          <w:tcPr>
            <w:tcW w:type="dxa" w:w="23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Dextrorphan</w:t>
            </w:r>
          </w:p>
        </w:tc>
        <w:tc>
          <w:tcPr>
            <w:tcW w:type="dxa" w:w="2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Quinidine (1 μM)</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CYP3A4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Midazolam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 μM (Km)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1-OH Midazolam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Ketoconazole (1 μM)</w:t>
            </w:r>
          </w:p>
        </w:tc>
      </w:tr>
      <w:tr>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CYP3A4 (alt)</w:t>
            </w:r>
          </w:p>
        </w:tc>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Testosterone</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50 μM</w:t>
            </w:r>
          </w:p>
        </w:tc>
        <w:tc>
          <w:tcPr>
            <w:tcW w:type="dxa" w:w="23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6β-OH Testosterone</w:t>
            </w:r>
          </w:p>
        </w:tc>
        <w:tc>
          <w:tcPr>
            <w:tcW w:type="dxa" w:w="2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Ketoconazole (1 μM)</w:t>
            </w:r>
          </w:p>
        </w:tc>
      </w:tr>
    </w:tbl>
    <w:p>
      <w:pPr>
        <w:spacing w:before="60" w:after="60"/>
      </w:pPr>
      <w:r>
        <w:t xml:space="preserve"/>
      </w:r>
    </w:p>
    <w:p>
      <w:pPr>
        <w:spacing w:before="60" w:after="60"/>
        <w:jc w:val="both"/>
      </w:pPr>
      <w:r>
        <w:rPr>
          <w:rFonts w:ascii="Arial" w:cs="Arial" w:eastAsia="Arial" w:hAnsi="Arial"/>
          <w:color w:val="000000"/>
          <w:sz w:val="20"/>
          <w:szCs w:val="20"/>
        </w:rPr>
        <w:t xml:space="preserve">Incubation conditions: 37°C, 10 minutes pre-incubation, 10-minute reaction (CYP3A4 midazolam probe) to 30 minutes depending on probe, terminated with ice-cold acetonitrile (1:2 v/v) containing internal standard. Metabolites quantified by validated LC-MS/MS.</w:t>
      </w:r>
    </w:p>
    <w:p>
      <w:pPr>
        <w:spacing w:before="60" w:after="60"/>
        <w:jc w:val="both"/>
      </w:pPr>
      <w:r>
        <w:rPr>
          <w:rFonts w:ascii="Arial" w:cs="Arial" w:eastAsia="Arial" w:hAnsi="Arial"/>
          <w:color w:val="000000"/>
          <w:sz w:val="20"/>
          <w:szCs w:val="20"/>
        </w:rPr>
        <w:t xml:space="preserve">IC50 determination: Four-parameter logistic (4PL) nonlinear curve fitting using GraphPad Prism v9. Inhibition Ki estimated from IC50/([S]/Km + 1). R[DDI1] calculated as 1 + [I]max,u / Ki where [I]max,u = unbound Cmax (fu,p × 80 μg/mL; fu,p = 0.995 for IgG4 mAb).</w:t>
      </w:r>
    </w:p>
    <w:p>
      <w:pPr>
        <w:pStyle w:val="Heading2"/>
        <w:spacing w:before="240" w:after="120"/>
      </w:pPr>
      <w:r>
        <w:rPr>
          <w:rFonts w:ascii="Arial" w:cs="Arial" w:eastAsia="Arial" w:hAnsi="Arial"/>
          <w:b/>
          <w:bCs/>
          <w:color w:val="595959"/>
          <w:sz w:val="20"/>
          <w:szCs w:val="20"/>
        </w:rPr>
        <w:t xml:space="preserve">2.2 Time-Dependent Inhibition (TDI) Study Design</w:t>
      </w:r>
    </w:p>
    <w:p>
      <w:pPr>
        <w:spacing w:before="60" w:after="60"/>
        <w:jc w:val="both"/>
      </w:pPr>
      <w:r>
        <w:rPr>
          <w:rFonts w:ascii="Arial" w:cs="Arial" w:eastAsia="Arial" w:hAnsi="Arial"/>
          <w:color w:val="000000"/>
          <w:sz w:val="20"/>
          <w:szCs w:val="20"/>
        </w:rPr>
        <w:t xml:space="preserve">CYP3A4 and CYP2D6 were evaluated for TDI using the shift in IC50 approach (±NADPH preincubation). If a ≥1.5-fold shift in IC50 is observed in the presence vs. absence of NADPH preincubation, the test article is considered to have TDI potential and further kinact/KI characterization is triggered.</w:t>
      </w:r>
    </w:p>
    <w:p>
      <w:pPr>
        <w:spacing w:before="60" w:after="60"/>
        <w:jc w:val="both"/>
      </w:pPr>
      <w:r>
        <w:rPr>
          <w:rFonts w:ascii="Arial" w:cs="Arial" w:eastAsia="Arial" w:hAnsi="Arial"/>
          <w:color w:val="000000"/>
          <w:sz w:val="20"/>
          <w:szCs w:val="20"/>
        </w:rPr>
        <w:t xml:space="preserve">Protocol: HLMs (1 mg/mL) were preincubated with cervimab (0–100 μg/mL) ±NADPH for 30 minutes at 37°C. Following preincubation, the mixture was diluted 20-fold into the reaction matrix containing probe substrate (midazolam 2 μM for CYP3A4; dextromethorphan 5 μM for CYP2D6) and fresh NADPH-regenerating system. Metabolite formation was quantified as above.</w:t>
      </w:r>
    </w:p>
    <w:p>
      <w:pPr>
        <w:pStyle w:val="Heading2"/>
        <w:spacing w:before="240" w:after="120"/>
      </w:pPr>
      <w:r>
        <w:rPr>
          <w:rFonts w:ascii="Arial" w:cs="Arial" w:eastAsia="Arial" w:hAnsi="Arial"/>
          <w:b/>
          <w:bCs/>
          <w:color w:val="595959"/>
          <w:sz w:val="20"/>
          <w:szCs w:val="20"/>
        </w:rPr>
        <w:t xml:space="preserve">2.3 CYP Induction Studies in Primary Human Hepatocytes</w:t>
      </w:r>
    </w:p>
    <w:p>
      <w:pPr>
        <w:spacing w:before="60" w:after="60"/>
        <w:jc w:val="both"/>
      </w:pPr>
      <w:r>
        <w:rPr>
          <w:rFonts w:ascii="Arial" w:cs="Arial" w:eastAsia="Arial" w:hAnsi="Arial"/>
          <w:color w:val="000000"/>
          <w:sz w:val="20"/>
          <w:szCs w:val="20"/>
        </w:rPr>
        <w:t xml:space="preserve">CYP1A2, CYP2B6, and CYP3A4 mRNA induction was evaluated in sandwich-cultured primary human hepatocytes from three individual donors (sex, age, and genotype information in Appendix B). Hepatocytes were treated for 48 hours with cervimab (1, 10, 50, 100 μg/mL) or positive controls (omeprazole 50 μM for CYP1A2; phenobarbital 1 mM for CYP2B6; rifampicin 10 μM for CYP3A4) in triplicate. Gene expression was measured by qRT-PCR (TaqMan), normalized to GAPDH housekeeping gene.</w:t>
      </w:r>
    </w:p>
    <w:p>
      <w:pPr>
        <w:spacing w:before="60" w:after="60"/>
        <w:jc w:val="both"/>
      </w:pPr>
      <w:r>
        <w:rPr>
          <w:rFonts w:ascii="Arial" w:cs="Arial" w:eastAsia="Arial" w:hAnsi="Arial"/>
          <w:color w:val="000000"/>
          <w:sz w:val="20"/>
          <w:szCs w:val="20"/>
        </w:rPr>
        <w:t xml:space="preserve">Cytotoxicity was assessed by LDH release and MTT assay at all cervimab concentrations. Results confirmed no cytotoxicity at any tested concentration.</w:t>
      </w:r>
    </w:p>
    <w:p>
      <w:r>
        <w:br w:type="page"/>
      </w:r>
    </w:p>
    <w:p>
      <w:pPr>
        <w:pStyle w:val="Heading1"/>
        <w:spacing w:before="240" w:after="120"/>
      </w:pPr>
      <w:r>
        <w:rPr>
          <w:rFonts w:ascii="Arial" w:cs="Arial" w:eastAsia="Arial" w:hAnsi="Arial"/>
          <w:b/>
          <w:bCs/>
          <w:color w:val="595959"/>
          <w:sz w:val="20"/>
          <w:szCs w:val="20"/>
        </w:rPr>
        <w:t xml:space="preserve">3. RESULTS: DIRECT CYP INHIBITION</w:t>
      </w:r>
    </w:p>
    <w:p>
      <w:pPr>
        <w:pStyle w:val="Heading2"/>
        <w:spacing w:before="240" w:after="120"/>
      </w:pPr>
      <w:r>
        <w:rPr>
          <w:rFonts w:ascii="Arial" w:cs="Arial" w:eastAsia="Arial" w:hAnsi="Arial"/>
          <w:b/>
          <w:bCs/>
          <w:color w:val="595959"/>
          <w:sz w:val="20"/>
          <w:szCs w:val="20"/>
        </w:rPr>
        <w:t xml:space="preserve">3.1 IC50 Results — Summary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216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CYP Enzyme</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IC50 (μg/mL)</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Ki (μM)</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R[DDI1] = 1+[I]/Ki</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Threshold (&gt;1.1 = investigate)</w:t>
            </w:r>
          </w:p>
        </w:tc>
        <w:tc>
          <w:tcPr>
            <w:tcW w:type="dxa" w:w="2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Conclusion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CYP1A2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&gt;676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&lt;1.001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16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inhibition — not predicted</w:t>
            </w:r>
          </w:p>
        </w:tc>
      </w:tr>
      <w:tr>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CYP2B6</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&gt;676</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&lt;1.001</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16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inhibition — not predicted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CYP2C8</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&gt;676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&lt;1.001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16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inhibition — not predicted</w:t>
            </w:r>
          </w:p>
        </w:tc>
      </w:tr>
      <w:tr>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CYP2C9</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&gt;676</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&lt;1.001</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16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inhibition — not predicted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CYP2C19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&gt;676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&lt;1.001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16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inhibition — not predicted</w:t>
            </w:r>
          </w:p>
        </w:tc>
      </w:tr>
      <w:tr>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CYP2D6</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&gt;676</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&lt;1.001</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16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inhibition — not predicted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CYP3A4 (MDZ)</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&gt;676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&lt;1.001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16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inhibition — not predicted</w:t>
            </w:r>
          </w:p>
        </w:tc>
      </w:tr>
      <w:tr>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CYP3A4 (TES)</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&gt;676</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&lt;1.001</w:t>
            </w:r>
          </w:p>
        </w:tc>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16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inhibition — not predicted</w:t>
            </w:r>
          </w:p>
        </w:tc>
      </w:tr>
    </w:tbl>
    <w:p>
      <w:pPr>
        <w:spacing w:before="60" w:after="60"/>
      </w:pPr>
      <w:r>
        <w:t xml:space="preserve"/>
      </w:r>
    </w:p>
    <w:p>
      <w:pPr>
        <w:spacing w:before="60" w:after="60"/>
        <w:jc w:val="both"/>
      </w:pPr>
      <w:r>
        <w:rPr>
          <w:rFonts w:ascii="Arial" w:cs="Arial" w:eastAsia="Arial" w:hAnsi="Arial"/>
          <w:color w:val="000000"/>
          <w:sz w:val="20"/>
          <w:szCs w:val="20"/>
        </w:rPr>
        <w:t xml:space="preserve">Interpretation: IC50 values for cervimab exceeded the highest tested concentration (100 μg/mL) for all CYP enzymes evaluated. At the clinical Cmax of 80 μg/mL (fu,p ≈ 1.0 for this IgG4), the R[DDI1] value does not exceed 1.02 for any enzyme, well below the FDA threshold of 1.1 that triggers further clinical investigation. No direct CYP inhibition by cervimab is predicted in vivo.</w:t>
      </w:r>
    </w:p>
    <w:p>
      <w:pPr>
        <w:spacing w:before="60" w:after="60"/>
        <w:jc w:val="both"/>
      </w:pPr>
      <w:r>
        <w:rPr>
          <w:rFonts w:ascii="Arial" w:cs="Arial" w:eastAsia="Arial" w:hAnsi="Arial"/>
          <w:color w:val="000000"/>
          <w:sz w:val="20"/>
          <w:szCs w:val="20"/>
        </w:rPr>
        <w:t xml:space="preserve">Positive control performance: All positive control inhibitors produced ≥80% inhibition of the respective CYP enzyme activity at the tested concentrations, confirming assay validity (data in Appendix A).</w:t>
      </w:r>
    </w:p>
    <w:p>
      <w:r>
        <w:br w:type="page"/>
      </w:r>
    </w:p>
    <w:p>
      <w:pPr>
        <w:pStyle w:val="Heading1"/>
        <w:spacing w:before="240" w:after="120"/>
      </w:pPr>
      <w:r>
        <w:rPr>
          <w:rFonts w:ascii="Arial" w:cs="Arial" w:eastAsia="Arial" w:hAnsi="Arial"/>
          <w:b/>
          <w:bCs/>
          <w:color w:val="595959"/>
          <w:sz w:val="20"/>
          <w:szCs w:val="20"/>
        </w:rPr>
        <w:t xml:space="preserve">4. RESULTS: TIME-DEPENDENT INHIBITION (TDI)</w:t>
      </w:r>
    </w:p>
    <w:p>
      <w:pPr>
        <w:pStyle w:val="Heading2"/>
        <w:spacing w:before="240" w:after="120"/>
      </w:pPr>
      <w:r>
        <w:rPr>
          <w:rFonts w:ascii="Arial" w:cs="Arial" w:eastAsia="Arial" w:hAnsi="Arial"/>
          <w:b/>
          <w:bCs/>
          <w:color w:val="595959"/>
          <w:sz w:val="20"/>
          <w:szCs w:val="20"/>
        </w:rPr>
        <w:t xml:space="preserve">4.1 IC50 Shift Results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CYP Enzyme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IC50 −NADPH preincubation (μg/mL)</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IC50 +NADPH preincubation (μg/mL)</w:t>
            </w:r>
          </w:p>
        </w:tc>
        <w:tc>
          <w:tcPr>
            <w:tcW w:type="dxa" w:w="1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IC50 Shift Ratio</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TDI Detected?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CYP3A4 (MDZ probe)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&lt;1.5 (N/A)</w:t>
            </w:r>
          </w:p>
        </w:tc>
        <w:tc>
          <w:tcPr>
            <w:tcW w:type="dxa" w:w="160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TDI detected</w:t>
            </w:r>
          </w:p>
        </w:tc>
      </w:tr>
      <w:tr>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CYP2D6 (DEX probe)</w:t>
            </w:r>
          </w:p>
        </w:tc>
        <w:tc>
          <w:tcPr>
            <w:tcW w:type="dxa" w:w="22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22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15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&lt;1.5 (N/A)</w:t>
            </w:r>
          </w:p>
        </w:tc>
        <w:tc>
          <w:tcPr>
            <w:tcW w:type="dxa" w:w="1600"/>
            <w:tcBorders>
              <w:top w:val="single" w:color="BBBBBB" w:sz="1"/>
              <w:left w:val="single" w:color="BBBBBB" w:sz="1"/>
              <w:bottom w:val="single" w:color="BBBBBB" w:sz="1"/>
              <w:right w:val="single" w:color="BBBBBB" w:sz="1"/>
            </w:tcBorders>
            <w:shd w:fill="E6F4EA" w:val="clear"/>
            <w:tcMar>
              <w:top w:type="dxa" w:w="80"/>
              <w:left w:type="dxa" w:w="120"/>
              <w:bottom w:type="dxa" w:w="80"/>
              <w:right w:type="dxa" w:w="120"/>
            </w:tcMar>
          </w:tcPr>
          <w:p>
            <w:r>
              <w:rPr>
                <w:rFonts w:ascii="Arial" w:cs="Arial" w:eastAsia="Arial" w:hAnsi="Arial"/>
                <w:b/>
                <w:bCs/>
                <w:color w:val="1A5632"/>
                <w:sz w:val="18"/>
                <w:szCs w:val="18"/>
              </w:rPr>
              <w:t xml:space="preserve">No TDI detected</w:t>
            </w:r>
          </w:p>
        </w:tc>
      </w:tr>
    </w:tbl>
    <w:p>
      <w:pPr>
        <w:spacing w:before="60" w:after="60"/>
      </w:pPr>
      <w:r>
        <w:t xml:space="preserve"/>
      </w:r>
    </w:p>
    <w:p>
      <w:pPr>
        <w:spacing w:before="60" w:after="60"/>
        <w:jc w:val="both"/>
      </w:pPr>
      <w:r>
        <w:rPr>
          <w:rFonts w:ascii="Arial" w:cs="Arial" w:eastAsia="Arial" w:hAnsi="Arial"/>
          <w:color w:val="000000"/>
          <w:sz w:val="20"/>
          <w:szCs w:val="20"/>
        </w:rPr>
        <w:t xml:space="preserve">No shift in IC50 (shift ratio &lt;1.5) was observed for either CYP3A4 or CYP2D6 with or without NADPH preincubation. This result indicates that cervimab does not undergo NADPH-dependent metabolic activation to form a reactive species capable of causing mechanism-based CYP inhibition at the tested concentrations. KI/kinact characterization is therefore not warranted.</w:t>
      </w:r>
    </w:p>
    <w:p>
      <w:pPr>
        <w:spacing w:before="60" w:after="60"/>
        <w:jc w:val="both"/>
      </w:pPr>
      <w:r>
        <w:rPr>
          <w:rFonts w:ascii="Arial" w:cs="Arial" w:eastAsia="Arial" w:hAnsi="Arial"/>
          <w:color w:val="000000"/>
          <w:sz w:val="20"/>
          <w:szCs w:val="20"/>
        </w:rPr>
        <w:t xml:space="preserve">Positive control (troleandomycin 50 μM for CYP3A4 TDI): Shift ratio of 22.4-fold observed, confirming assay sensitivity for TDI detection.</w:t>
      </w:r>
    </w:p>
    <w:p>
      <w:r>
        <w:br w:type="page"/>
      </w:r>
    </w:p>
    <w:p>
      <w:pPr>
        <w:pStyle w:val="Heading1"/>
        <w:spacing w:before="240" w:after="120"/>
      </w:pPr>
      <w:r>
        <w:rPr>
          <w:rFonts w:ascii="Arial" w:cs="Arial" w:eastAsia="Arial" w:hAnsi="Arial"/>
          <w:b/>
          <w:bCs/>
          <w:color w:val="595959"/>
          <w:sz w:val="20"/>
          <w:szCs w:val="20"/>
        </w:rPr>
        <w:t xml:space="preserve">5. RESULTS: CYP INDUCTION IN PRIMARY HUMAN HEPATOCYTES</w:t>
      </w:r>
    </w:p>
    <w:p>
      <w:pPr>
        <w:pStyle w:val="Heading2"/>
        <w:spacing w:before="240" w:after="120"/>
      </w:pPr>
      <w:r>
        <w:rPr>
          <w:rFonts w:ascii="Arial" w:cs="Arial" w:eastAsia="Arial" w:hAnsi="Arial"/>
          <w:b/>
          <w:bCs/>
          <w:color w:val="595959"/>
          <w:sz w:val="20"/>
          <w:szCs w:val="20"/>
        </w:rPr>
        <w:t xml:space="preserve">5.1 mRNA Induction Data — Individual Donor and Pooled Results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1760"/>
        <w:gridCol w:w="1800"/>
        <w:gridCol w:w="1800"/>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CYP Enzyme</w:t>
            </w:r>
          </w:p>
        </w:tc>
        <w:tc>
          <w:tcPr>
            <w:tcW w:type="dxa" w:w="1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Donor</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Vehicle Control (1.0 [ref])</w:t>
            </w:r>
          </w:p>
        </w:tc>
        <w:tc>
          <w:tcPr>
            <w:tcW w:type="dxa" w:w="1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Cervimab 1 μg/mL</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Cervimab 50 μg/mL</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Cervimab 100 μg/mL</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CYP1A2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1.03 ± 0.09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1.08 ± 0.12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1.11 ± 0.15</w:t>
            </w:r>
          </w:p>
        </w:tc>
      </w:tr>
      <w:tr>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CYP1A2</w:t>
            </w:r>
          </w:p>
        </w:tc>
        <w:tc>
          <w:tcPr>
            <w:tcW w:type="dxa" w:w="1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D2</w:t>
            </w:r>
          </w:p>
        </w:tc>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17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0.98 ± 0.07</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1.05 ± 0.08</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1.09 ± 0.11</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CYP1A2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1.01 ± 0.10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1.06 ± 0.13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1.12 ± 0.14</w:t>
            </w:r>
          </w:p>
        </w:tc>
      </w:tr>
      <w:tr>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CYP1A2</w:t>
            </w:r>
          </w:p>
        </w:tc>
        <w:tc>
          <w:tcPr>
            <w:tcW w:type="dxa" w:w="1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Pooled Mean</w:t>
            </w:r>
          </w:p>
        </w:tc>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17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1.01</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1.06</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1.11</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CYP2B6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1.05 ± 0.11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1.10 ± 0.17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1.15 ± 0.19</w:t>
            </w:r>
          </w:p>
        </w:tc>
      </w:tr>
      <w:tr>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CYP2B6</w:t>
            </w:r>
          </w:p>
        </w:tc>
        <w:tc>
          <w:tcPr>
            <w:tcW w:type="dxa" w:w="1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D2</w:t>
            </w:r>
          </w:p>
        </w:tc>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17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0.97 ± 0.09</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1.07 ± 0.10</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1.10 ± 0.13</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CYP2B6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1.02 ± 0.08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1.08 ± 0.12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1.14 ± 0.16</w:t>
            </w:r>
          </w:p>
        </w:tc>
      </w:tr>
      <w:tr>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CYP2B6</w:t>
            </w:r>
          </w:p>
        </w:tc>
        <w:tc>
          <w:tcPr>
            <w:tcW w:type="dxa" w:w="1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Pooled Mean</w:t>
            </w:r>
          </w:p>
        </w:tc>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17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1.01</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1.08</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1.13</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CYP3A4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1.07 ± 0.14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1.13 ± 0.18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1.17 ± 0.21</w:t>
            </w:r>
          </w:p>
        </w:tc>
      </w:tr>
      <w:tr>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CYP3A4</w:t>
            </w:r>
          </w:p>
        </w:tc>
        <w:tc>
          <w:tcPr>
            <w:tcW w:type="dxa" w:w="1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D2</w:t>
            </w:r>
          </w:p>
        </w:tc>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17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1.01 ± 0.08</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1.09 ± 0.11</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1.14 ± 0.15</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CYP3A4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1.04 ± 0.10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1.11 ± 0.14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1.18 ± 0.20</w:t>
            </w:r>
          </w:p>
        </w:tc>
      </w:tr>
      <w:tr>
        <w:tc>
          <w:tcPr>
            <w:tcW w:type="dxa" w:w="1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CYP3A4</w:t>
            </w:r>
          </w:p>
        </w:tc>
        <w:tc>
          <w:tcPr>
            <w:tcW w:type="dxa" w:w="10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Pooled Mean</w:t>
            </w:r>
          </w:p>
        </w:tc>
        <w:tc>
          <w:tcPr>
            <w:tcW w:type="dxa" w:w="16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17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1.04</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1.11</w:t>
            </w:r>
          </w:p>
        </w:tc>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1.16</w:t>
            </w:r>
          </w:p>
        </w:tc>
      </w:tr>
    </w:tbl>
    <w:p>
      <w:pPr>
        <w:spacing w:before="60" w:after="60"/>
      </w:pPr>
      <w:r>
        <w:t xml:space="preserve"/>
      </w:r>
    </w:p>
    <w:p>
      <w:pPr>
        <w:spacing w:before="60" w:after="60"/>
        <w:jc w:val="both"/>
      </w:pPr>
      <w:r>
        <w:rPr>
          <w:rFonts w:ascii="Arial" w:cs="Arial" w:eastAsia="Arial" w:hAnsi="Arial"/>
          <w:color w:val="000000"/>
          <w:sz w:val="20"/>
          <w:szCs w:val="20"/>
        </w:rPr>
        <w:t xml:space="preserve">Values represent mean fold-change over vehicle control (DMSO 0.1%) ± SD from triplicate determinations. Threshold for induction signal: ≥2-fold for CYP3A4 and CYP2B6; ≥5-fold for CYP1A2 per FDA guidance. Alternatively, if induction is ≥20% of the positive control response, additional analysis is warranted.</w:t>
      </w:r>
    </w:p>
    <w:p>
      <w:pPr>
        <w:pStyle w:val="Heading2"/>
        <w:spacing w:before="240" w:after="120"/>
      </w:pPr>
      <w:r>
        <w:rPr>
          <w:rFonts w:ascii="Arial" w:cs="Arial" w:eastAsia="Arial" w:hAnsi="Arial"/>
          <w:b/>
          <w:bCs/>
          <w:color w:val="595959"/>
          <w:sz w:val="20"/>
          <w:szCs w:val="20"/>
        </w:rPr>
        <w:t xml:space="preserve">5.2 Positive Control Validation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Positive Control</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CYP Target</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 Fold-Induction (Pooled Donors)</w:t>
            </w:r>
          </w:p>
        </w:tc>
        <w:tc>
          <w:tcPr>
            <w:tcW w:type="dxa" w:w="3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Acceptance Criterion Met?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Omeprazole 50 μM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CYP1A2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18.7 ± 3.2</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 (≥5-fold required; 18.7-fold observed)</w:t>
            </w:r>
          </w:p>
        </w:tc>
      </w:tr>
      <w:tr>
        <w:tc>
          <w:tcPr>
            <w:tcW w:type="dxa" w:w="18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Phenobarbital 1 mM</w:t>
            </w:r>
          </w:p>
        </w:tc>
        <w:tc>
          <w:tcPr>
            <w:tcW w:type="dxa" w:w="22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CYP2B6</w:t>
            </w:r>
          </w:p>
        </w:tc>
        <w:tc>
          <w:tcPr>
            <w:tcW w:type="dxa" w:w="22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8.3 ± 1.6</w:t>
            </w:r>
          </w:p>
        </w:tc>
        <w:tc>
          <w:tcPr>
            <w:tcW w:type="dxa" w:w="31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color w:val="000000"/>
                <w:sz w:val="18"/>
                <w:szCs w:val="18"/>
              </w:rPr>
              <w:t xml:space="preserve">Yes (≥2-fold required; 8.3-fold observed)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Rifampicin 10 μM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CYP3A4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22.1 ± 4.4</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 (≥2-fold required; 22.1-fold observed)</w:t>
            </w:r>
          </w:p>
        </w:tc>
      </w:tr>
    </w:tbl>
    <w:p>
      <w:pPr>
        <w:spacing w:before="60" w:after="60"/>
      </w:pPr>
      <w:r>
        <w:t xml:space="preserve"/>
      </w:r>
    </w:p>
    <w:p>
      <w:pPr>
        <w:spacing w:before="60" w:after="60"/>
        <w:jc w:val="both"/>
      </w:pPr>
      <w:r>
        <w:rPr>
          <w:rFonts w:ascii="Arial" w:cs="Arial" w:eastAsia="Arial" w:hAnsi="Arial"/>
          <w:color w:val="000000"/>
          <w:sz w:val="20"/>
          <w:szCs w:val="20"/>
        </w:rPr>
        <w:t xml:space="preserve">All positive control responses were within the historical range of the performing laboratory and confirm assay sensitivity and hepatocyte viability.</w:t>
      </w:r>
    </w:p>
    <w:p>
      <w:pPr>
        <w:pStyle w:val="Heading2"/>
        <w:spacing w:before="240" w:after="120"/>
      </w:pPr>
      <w:r>
        <w:rPr>
          <w:rFonts w:ascii="Arial" w:cs="Arial" w:eastAsia="Arial" w:hAnsi="Arial"/>
          <w:b/>
          <w:bCs/>
          <w:color w:val="595959"/>
          <w:sz w:val="20"/>
          <w:szCs w:val="20"/>
        </w:rPr>
        <w:t xml:space="preserve">5.3 Induction Interpretation</w:t>
      </w:r>
    </w:p>
    <w:p>
      <w:pPr>
        <w:spacing w:before="60" w:after="60"/>
        <w:jc w:val="both"/>
      </w:pPr>
      <w:r>
        <w:rPr>
          <w:rFonts w:ascii="Arial" w:cs="Arial" w:eastAsia="Arial" w:hAnsi="Arial"/>
          <w:color w:val="000000"/>
          <w:sz w:val="20"/>
          <w:szCs w:val="20"/>
        </w:rPr>
        <w:t xml:space="preserve">Maximum fold-induction of CYP1A2 (1.11-fold), CYP2B6 (1.13-fold), and CYP3A4 (1.16-fold) were observed at the highest cervimab concentration (100 μg/mL). All fold-induction values are substantially below the regulatory thresholds (2-fold for CYP3A4/CYP2B6; 5-fold for CYP1A2). Furthermore, the maximum induction response as a percentage of the positive control response is well below 20% for all three CYPs:</w:t>
      </w:r>
    </w:p>
    <w:p>
      <w:pPr>
        <w:pStyle w:val="ListParagraph"/>
        <w:numPr>
          <w:ilvl w:val="0"/>
          <w:numId w:val="2"/>
        </w:numPr>
        <w:spacing w:before="40" w:after="40"/>
      </w:pPr>
      <w:r>
        <w:rPr>
          <w:rFonts w:ascii="Arial" w:cs="Arial" w:eastAsia="Arial" w:hAnsi="Arial"/>
          <w:sz w:val="20"/>
          <w:szCs w:val="20"/>
        </w:rPr>
        <w:t xml:space="preserve">CYP1A2 induction as % of omeprazole response: 1.11/18.7 × 100 = 0.6%</w:t>
      </w:r>
    </w:p>
    <w:p>
      <w:pPr>
        <w:pStyle w:val="ListParagraph"/>
        <w:numPr>
          <w:ilvl w:val="0"/>
          <w:numId w:val="2"/>
        </w:numPr>
        <w:spacing w:before="40" w:after="40"/>
      </w:pPr>
      <w:r>
        <w:rPr>
          <w:rFonts w:ascii="Arial" w:cs="Arial" w:eastAsia="Arial" w:hAnsi="Arial"/>
          <w:sz w:val="20"/>
          <w:szCs w:val="20"/>
        </w:rPr>
        <w:t xml:space="preserve">CYP2B6 induction as % of phenobarbital response: 1.13/8.3 × 100 = 1.6%</w:t>
      </w:r>
    </w:p>
    <w:p>
      <w:pPr>
        <w:pStyle w:val="ListParagraph"/>
        <w:numPr>
          <w:ilvl w:val="0"/>
          <w:numId w:val="2"/>
        </w:numPr>
        <w:spacing w:before="40" w:after="40"/>
      </w:pPr>
      <w:r>
        <w:rPr>
          <w:rFonts w:ascii="Arial" w:cs="Arial" w:eastAsia="Arial" w:hAnsi="Arial"/>
          <w:sz w:val="20"/>
          <w:szCs w:val="20"/>
        </w:rPr>
        <w:t xml:space="preserve">CYP3A4 induction as % of rifampicin response: 1.16/22.1 × 100 = 0.5%</w:t>
      </w:r>
    </w:p>
    <w:p>
      <w:pPr>
        <w:spacing w:before="60" w:after="60"/>
        <w:jc w:val="both"/>
      </w:pPr>
      <w:r>
        <w:rPr>
          <w:rFonts w:ascii="Arial" w:cs="Arial" w:eastAsia="Arial" w:hAnsi="Arial"/>
          <w:color w:val="000000"/>
          <w:sz w:val="20"/>
          <w:szCs w:val="20"/>
        </w:rPr>
        <w:t xml:space="preserve">Conclusion: Cervimab does not induce CYP1A2, CYP2B6, or CYP3A4 at clinically relevant concentrations. No further clinical CYP induction assessment is required based on in vitro data.</w:t>
      </w:r>
    </w:p>
    <w:p>
      <w:r>
        <w:br w:type="page"/>
      </w:r>
    </w:p>
    <w:p>
      <w:pPr>
        <w:pStyle w:val="Heading1"/>
        <w:spacing w:before="240" w:after="120"/>
      </w:pPr>
      <w:r>
        <w:rPr>
          <w:rFonts w:ascii="Arial" w:cs="Arial" w:eastAsia="Arial" w:hAnsi="Arial"/>
          <w:b/>
          <w:bCs/>
          <w:color w:val="595959"/>
          <w:sz w:val="20"/>
          <w:szCs w:val="20"/>
        </w:rPr>
        <w:t xml:space="preserve">6. CYTOKINE-MEDIATED DDI RISK ASSESSMENT</w:t>
      </w:r>
    </w:p>
    <w:p>
      <w:pPr>
        <w:spacing w:before="60" w:after="60"/>
        <w:jc w:val="both"/>
      </w:pPr>
      <w:r>
        <w:rPr>
          <w:rFonts w:ascii="Arial" w:cs="Arial" w:eastAsia="Arial" w:hAnsi="Arial"/>
          <w:color w:val="000000"/>
          <w:sz w:val="20"/>
          <w:szCs w:val="20"/>
        </w:rPr>
        <w:t xml:space="preserve">Although the in vitro data demonstrate that cervimab does not directly inhibit or induce CYP enzymes, its mechanism of action as a PD-1 antagonist introduces the potential for indirect, cytokine-mediated CYP modulation. Upon T-cell activation following PD-1 blockade, pro-inflammatory cytokines including IL-6, IFN-γ, and TNF-α are released systemically. These cytokines are known to suppress hepatic CYP3A4, CYP1A2, CYP2C9, and CYP2C19 transcription, potentially decreasing clearance of CYP-metabolized co-medications and increasing their plasma exposures.</w:t>
      </w:r>
    </w:p>
    <w:p>
      <w:pPr>
        <w:spacing w:before="60" w:after="60"/>
        <w:jc w:val="both"/>
      </w:pPr>
      <w:r>
        <w:rPr>
          <w:rFonts w:ascii="Arial" w:cs="Arial" w:eastAsia="Arial" w:hAnsi="Arial"/>
          <w:color w:val="000000"/>
          <w:sz w:val="20"/>
          <w:szCs w:val="20"/>
        </w:rPr>
        <w:t xml:space="preserve">The magnitude of cytokine-mediated CYP suppression following cervimab therapy cannot be quantitatively predicted from the in vitro data in this report. Published literature on approved anti-PD-1 agents (pembrolizumab, nivolumab) has not identified clinically significant cDDI in population PK analyses; however, prospective data from a dedicated clinical probe study remain the definitive standard.</w:t>
      </w:r>
    </w:p>
    <w:p>
      <w:pPr>
        <w:spacing w:before="60" w:after="60"/>
        <w:jc w:val="both"/>
      </w:pPr>
      <w:r>
        <w:rPr>
          <w:rFonts w:ascii="Arial" w:cs="Arial" w:eastAsia="Arial" w:hAnsi="Arial"/>
          <w:color w:val="000000"/>
          <w:sz w:val="20"/>
          <w:szCs w:val="20"/>
        </w:rPr>
        <w:t xml:space="preserve">Risk factors that increase cDDI probability in cervimab-treated patients include: dMMR/MSI-H tumor types (associated with inherently high immune activation), combination with chemotherapy, and concomitant use of CYP-sensitive narrow-therapeutic-index drugs (e.g., warfarin, tacrolimus, cyclosporine, certain statins).</w:t>
      </w:r>
    </w:p>
    <w:p>
      <w:pPr>
        <w:spacing w:before="60" w:after="60"/>
        <w:jc w:val="both"/>
      </w:pPr>
      <w:r>
        <w:rPr>
          <w:rFonts w:ascii="Arial" w:cs="Arial" w:eastAsia="Arial" w:hAnsi="Arial"/>
          <w:color w:val="000000"/>
          <w:sz w:val="20"/>
          <w:szCs w:val="20"/>
        </w:rPr>
        <w:t xml:space="preserve">Recommendation: Conduct the prospective clinical DDI study (Protocol CRV-DDI-002) to characterize the in vivo cDDI magnitude for CYP3A4, CYP1A2, and CYP2C9 at steady-state cervimab. Until clinical data are available, prescribing guidance should note the potential for cytokine-mediated modulation and recommend monitoring of co-medications with narrow therapeutic indices that are sensitive CYP substrates.</w:t>
      </w:r>
    </w:p>
    <w:p>
      <w:r>
        <w:br w:type="page"/>
      </w:r>
    </w:p>
    <w:p>
      <w:pPr>
        <w:pStyle w:val="Heading1"/>
        <w:spacing w:before="240" w:after="120"/>
      </w:pPr>
      <w:r>
        <w:rPr>
          <w:rFonts w:ascii="Arial" w:cs="Arial" w:eastAsia="Arial" w:hAnsi="Arial"/>
          <w:b/>
          <w:bCs/>
          <w:color w:val="595959"/>
          <w:sz w:val="20"/>
          <w:szCs w:val="20"/>
        </w:rPr>
        <w:t xml:space="preserve">7. OVERALL CONCLUSIONS AND REGULATORY RECOMMENDATION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DDI Mechanism</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 Vitro Finding</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R[DDI] or Threshold</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Clinical Action Required?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 CYP Inhibition (all 7 CYPs)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IC50 &gt;100 μg/mL for all</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R[DDI1] &lt;1.002 (threshold: &gt;1.1)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No — in vitro data sufficient</w:t>
            </w:r>
          </w:p>
        </w:tc>
      </w:tr>
      <w:tr>
        <w:tc>
          <w:tcPr>
            <w:tcW w:type="dxa" w:w="22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CYP3A4/2D6 TDI</w:t>
            </w:r>
          </w:p>
        </w:tc>
        <w:tc>
          <w:tcPr>
            <w:tcW w:type="dxa" w:w="2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 IC50 shift (ratio &lt;1.5)</w:t>
            </w:r>
          </w:p>
        </w:tc>
        <w:tc>
          <w:tcPr>
            <w:tcW w:type="dxa" w:w="23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 TDI signal detected</w:t>
            </w:r>
          </w:p>
        </w:tc>
        <w:tc>
          <w:tcPr>
            <w:tcW w:type="dxa" w:w="2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bCs/>
                <w:color w:val="000000"/>
                <w:sz w:val="18"/>
                <w:szCs w:val="18"/>
              </w:rPr>
              <w:t xml:space="preserve">No — TDI not predicted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CYP1A2/2B6/3A4 Induction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 fold: 1.11–1.16 at 100 μg/mL</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&lt;20% of positive control; &lt;2-fold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No — in vitro data sufficient</w:t>
            </w:r>
          </w:p>
        </w:tc>
      </w:tr>
      <w:tr>
        <w:tc>
          <w:tcPr>
            <w:tcW w:type="dxa" w:w="22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Cytokine-mediated CYP suppression (indirect)</w:t>
            </w:r>
          </w:p>
        </w:tc>
        <w:tc>
          <w:tcPr>
            <w:tcW w:type="dxa" w:w="2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assessable in vitro</w:t>
            </w:r>
          </w:p>
        </w:tc>
        <w:tc>
          <w:tcPr>
            <w:tcW w:type="dxa" w:w="236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Possible immunological cDDI risk</w:t>
            </w:r>
          </w:p>
        </w:tc>
        <w:tc>
          <w:tcPr>
            <w:tcW w:type="dxa" w:w="2400"/>
            <w:tcBorders>
              <w:top w:val="single" w:color="BBBBBB" w:sz="1"/>
              <w:left w:val="single" w:color="BBBBBB" w:sz="1"/>
              <w:bottom w:val="single" w:color="BBBBBB" w:sz="1"/>
              <w:right w:val="single" w:color="BBBBBB" w:sz="1"/>
            </w:tcBorders>
            <w:shd w:fill="F0F4FA" w:val="clear"/>
            <w:tcMar>
              <w:top w:type="dxa" w:w="80"/>
              <w:left w:type="dxa" w:w="120"/>
              <w:bottom w:type="dxa" w:w="80"/>
              <w:right w:type="dxa" w:w="120"/>
            </w:tcMar>
          </w:tcPr>
          <w:p>
            <w:r>
              <w:rPr>
                <w:rFonts w:ascii="Arial" w:cs="Arial" w:eastAsia="Arial" w:hAnsi="Arial"/>
                <w:b/>
                <w:bCs/>
                <w:color w:val="000000"/>
                <w:sz w:val="18"/>
                <w:szCs w:val="18"/>
              </w:rPr>
              <w:t xml:space="preserve">YES — clinical study CRV-DDI-002 required</w:t>
            </w:r>
          </w:p>
        </w:tc>
      </w:tr>
    </w:tbl>
    <w:p>
      <w:pPr>
        <w:spacing w:before="60" w:after="60"/>
      </w:pPr>
      <w:r>
        <w:t xml:space="preserve"/>
      </w:r>
    </w:p>
    <w:p>
      <w:pPr>
        <w:spacing w:before="60" w:after="60"/>
        <w:jc w:val="both"/>
      </w:pPr>
      <w:r>
        <w:rPr>
          <w:rFonts w:ascii="Arial" w:cs="Arial" w:eastAsia="Arial" w:hAnsi="Arial"/>
          <w:color w:val="000000"/>
          <w:sz w:val="20"/>
          <w:szCs w:val="20"/>
        </w:rPr>
        <w:t xml:space="preserve">Based on this in vitro assessment package, cervimab does not exhibit direct CYP inhibition or induction at any concentration relevant to clinical use. The sole residual DDI concern is indirect (cytokine-mediated) CYP modulation, which will be prospectively evaluated in Clinical Study CRV-DDI-002. This report, together with CRV-DDI-002 data, will form the complete Module 2.6.4 / 2.7.2 DDI package for the New Drug Application (NDA) submission.</w:t>
      </w:r>
    </w:p>
    <w:p>
      <w:r>
        <w:br w:type="page"/>
      </w:r>
    </w:p>
    <w:p>
      <w:pPr>
        <w:pStyle w:val="Heading1"/>
        <w:spacing w:before="240" w:after="120"/>
      </w:pPr>
      <w:r>
        <w:rPr>
          <w:rFonts w:ascii="Arial" w:cs="Arial" w:eastAsia="Arial" w:hAnsi="Arial"/>
          <w:b/>
          <w:bCs/>
          <w:color w:val="595959"/>
          <w:sz w:val="20"/>
          <w:szCs w:val="20"/>
        </w:rPr>
        <w:t xml:space="preserve">8. REFERENCES</w:t>
      </w:r>
    </w:p>
    <w:p>
      <w:pPr>
        <w:pStyle w:val="ListParagraph"/>
        <w:numPr>
          <w:ilvl w:val="0"/>
          <w:numId w:val="3"/>
        </w:numPr>
        <w:spacing w:before="40" w:after="40"/>
      </w:pPr>
      <w:r>
        <w:rPr>
          <w:rFonts w:ascii="Arial" w:cs="Arial" w:eastAsia="Arial" w:hAnsi="Arial"/>
          <w:sz w:val="20"/>
          <w:szCs w:val="20"/>
        </w:rPr>
        <w:t xml:space="preserve">U.S. Food and Drug Administration. Guidance for Industry: In Vitro Drug Interaction Studies — Cytochrome P450 Enzyme- and Transporter-Mediated Drug Interactions. January 2020.</w:t>
      </w:r>
    </w:p>
    <w:p>
      <w:pPr>
        <w:pStyle w:val="ListParagraph"/>
        <w:numPr>
          <w:ilvl w:val="0"/>
          <w:numId w:val="3"/>
        </w:numPr>
        <w:spacing w:before="40" w:after="40"/>
      </w:pPr>
      <w:r>
        <w:rPr>
          <w:rFonts w:ascii="Arial" w:cs="Arial" w:eastAsia="Arial" w:hAnsi="Arial"/>
          <w:sz w:val="20"/>
          <w:szCs w:val="20"/>
        </w:rPr>
        <w:t xml:space="preserve">ICH M12. Drug Interaction Studies. International Council for Harmonisation. 2023.</w:t>
      </w:r>
    </w:p>
    <w:p>
      <w:pPr>
        <w:pStyle w:val="ListParagraph"/>
        <w:numPr>
          <w:ilvl w:val="0"/>
          <w:numId w:val="3"/>
        </w:numPr>
        <w:spacing w:before="40" w:after="40"/>
      </w:pPr>
      <w:r>
        <w:rPr>
          <w:rFonts w:ascii="Arial" w:cs="Arial" w:eastAsia="Arial" w:hAnsi="Arial"/>
          <w:sz w:val="20"/>
          <w:szCs w:val="20"/>
        </w:rPr>
        <w:t xml:space="preserve">U.S. Food and Drug Administration. Guidance for Industry: Drug Interaction Studies — Study Design, Data Analysis, Implications for Dosing and Labeling. October 2017.</w:t>
      </w:r>
    </w:p>
    <w:p>
      <w:pPr>
        <w:pStyle w:val="ListParagraph"/>
        <w:numPr>
          <w:ilvl w:val="0"/>
          <w:numId w:val="3"/>
        </w:numPr>
        <w:spacing w:before="40" w:after="40"/>
      </w:pPr>
      <w:r>
        <w:rPr>
          <w:rFonts w:ascii="Arial" w:cs="Arial" w:eastAsia="Arial" w:hAnsi="Arial"/>
          <w:sz w:val="20"/>
          <w:szCs w:val="20"/>
        </w:rPr>
        <w:t xml:space="preserve">Evers R, Dallas S, Dickmann LJ, et al. Critical review of preclinical approaches to investigate cytochrome P450-mediated therapeutic protein drug-drug interactions. Drug Metab Dispos. 2013;41(9):1598–1609.</w:t>
      </w:r>
    </w:p>
    <w:p>
      <w:pPr>
        <w:pStyle w:val="ListParagraph"/>
        <w:numPr>
          <w:ilvl w:val="0"/>
          <w:numId w:val="3"/>
        </w:numPr>
        <w:spacing w:before="40" w:after="40"/>
      </w:pPr>
      <w:r>
        <w:rPr>
          <w:rFonts w:ascii="Arial" w:cs="Arial" w:eastAsia="Arial" w:hAnsi="Arial"/>
          <w:sz w:val="20"/>
          <w:szCs w:val="20"/>
        </w:rPr>
        <w:t xml:space="preserve">Huang SM, Strong JM, Zhang L, et al. New era in drug interaction evaluation: US Food and Drug Administration update on CYP enzymes, transporters, and the guidance process. J Clin Pharmacol. 2008;48(6):662–670.</w:t>
      </w:r>
    </w:p>
    <w:p>
      <w:pPr>
        <w:pStyle w:val="ListParagraph"/>
        <w:numPr>
          <w:ilvl w:val="0"/>
          <w:numId w:val="3"/>
        </w:numPr>
        <w:spacing w:before="40" w:after="40"/>
      </w:pPr>
      <w:r>
        <w:rPr>
          <w:rFonts w:ascii="Arial" w:cs="Arial" w:eastAsia="Arial" w:hAnsi="Arial"/>
          <w:sz w:val="20"/>
          <w:szCs w:val="20"/>
        </w:rPr>
        <w:t xml:space="preserve">Schmitt C, Kuhn B, Zhang X, et al. Disease-drug-drug interaction involving tocilizumab and simvastatin in patients with rheumatoid arthritis. Clin Pharmacol Ther. 2011;89(5):735–740.</w:t>
      </w:r>
    </w:p>
    <w:p>
      <w:pPr>
        <w:pStyle w:val="ListParagraph"/>
        <w:numPr>
          <w:ilvl w:val="0"/>
          <w:numId w:val="3"/>
        </w:numPr>
        <w:spacing w:before="40" w:after="40"/>
      </w:pPr>
      <w:r>
        <w:rPr>
          <w:rFonts w:ascii="Arial" w:cs="Arial" w:eastAsia="Arial" w:hAnsi="Arial"/>
          <w:sz w:val="20"/>
          <w:szCs w:val="20"/>
        </w:rPr>
        <w:t xml:space="preserve">Girard P, Nony P, Lievre M, Gueyffier F. Population pharmacokinetics of large proteins: model and simulation of anti-PD-1 IgG antibody. AAPS J. 2019;21(2):27.</w:t>
      </w:r>
    </w:p>
    <w:p>
      <w:pPr>
        <w:pStyle w:val="ListParagraph"/>
        <w:numPr>
          <w:ilvl w:val="0"/>
          <w:numId w:val="3"/>
        </w:numPr>
        <w:spacing w:before="40" w:after="40"/>
      </w:pPr>
      <w:r>
        <w:rPr>
          <w:rFonts w:ascii="Arial" w:cs="Arial" w:eastAsia="Arial" w:hAnsi="Arial"/>
          <w:sz w:val="20"/>
          <w:szCs w:val="20"/>
        </w:rPr>
        <w:t xml:space="preserve">21 CFR Part 58. Good Laboratory Practice for Nonclinical Laboratory Studies. U.S. Code of Federal Regulations.</w:t>
      </w:r>
    </w:p>
    <w:p>
      <w:pPr>
        <w:spacing w:before="60" w:after="60"/>
      </w:pPr>
      <w:r>
        <w:t xml:space="preserve"/>
      </w:r>
    </w:p>
    <w:p>
      <w:pPr>
        <w:spacing w:before="60" w:after="60"/>
        <w:jc w:val="both"/>
      </w:pPr>
      <w:r>
        <w:rPr>
          <w:rFonts w:ascii="Arial" w:cs="Arial" w:eastAsia="Arial" w:hAnsi="Arial"/>
          <w:b/>
          <w:bCs/>
          <w:color w:val="000000"/>
          <w:sz w:val="20"/>
          <w:szCs w:val="20"/>
        </w:rPr>
        <w:t xml:space="preserve">— END OF REPORT —</w:t>
      </w:r>
    </w:p>
    <w:p>
      <w:pPr>
        <w:spacing w:before="60" w:after="60"/>
      </w:pPr>
      <w:r>
        <w:t xml:space="preserve"/>
      </w:r>
    </w:p>
    <w:p>
      <w:pPr>
        <w:spacing w:before="60" w:after="60"/>
        <w:jc w:val="both"/>
      </w:pPr>
      <w:r>
        <w:rPr>
          <w:rFonts w:ascii="Arial" w:cs="Arial" w:eastAsia="Arial" w:hAnsi="Arial"/>
          <w:i/>
          <w:iCs/>
          <w:color w:val="000000"/>
          <w:sz w:val="20"/>
          <w:szCs w:val="20"/>
        </w:rPr>
        <w:t xml:space="preserve">Appendix A: Positive Control Inhibitor IC50 Data (tabulated)</w:t>
      </w:r>
    </w:p>
    <w:p>
      <w:pPr>
        <w:spacing w:before="60" w:after="60"/>
        <w:jc w:val="both"/>
      </w:pPr>
      <w:r>
        <w:rPr>
          <w:rFonts w:ascii="Arial" w:cs="Arial" w:eastAsia="Arial" w:hAnsi="Arial"/>
          <w:i/>
          <w:iCs/>
          <w:color w:val="000000"/>
          <w:sz w:val="20"/>
          <w:szCs w:val="20"/>
        </w:rPr>
        <w:t xml:space="preserve">Appendix B: Primary Human Hepatocyte Donor Demographics and Quality Control Data</w:t>
      </w:r>
    </w:p>
    <w:p>
      <w:pPr>
        <w:spacing w:before="60" w:after="60"/>
        <w:jc w:val="both"/>
      </w:pPr>
      <w:r>
        <w:rPr>
          <w:rFonts w:ascii="Arial" w:cs="Arial" w:eastAsia="Arial" w:hAnsi="Arial"/>
          <w:i/>
          <w:iCs/>
          <w:color w:val="000000"/>
          <w:sz w:val="20"/>
          <w:szCs w:val="20"/>
        </w:rPr>
        <w:t xml:space="preserve">Appendix C: Representative Concentration-Response Curves (IC50 graphical output)</w:t>
      </w:r>
    </w:p>
    <w:p>
      <w:pPr>
        <w:spacing w:before="60" w:after="60"/>
        <w:jc w:val="both"/>
      </w:pPr>
      <w:r>
        <w:rPr>
          <w:rFonts w:ascii="Arial" w:cs="Arial" w:eastAsia="Arial" w:hAnsi="Arial"/>
          <w:i/>
          <w:iCs/>
          <w:color w:val="000000"/>
          <w:sz w:val="20"/>
          <w:szCs w:val="20"/>
        </w:rPr>
        <w:t xml:space="preserve">Appendix D: CYP1A2, CYP2B6, CYP3A4 qRT-PCR Raw Data by Donor</w:t>
      </w:r>
    </w:p>
    <w:p>
      <w:pPr>
        <w:spacing w:before="60" w:after="60"/>
        <w:jc w:val="both"/>
      </w:pPr>
      <w:r>
        <w:rPr>
          <w:rFonts w:ascii="Arial" w:cs="Arial" w:eastAsia="Arial" w:hAnsi="Arial"/>
          <w:i/>
          <w:iCs/>
          <w:color w:val="000000"/>
          <w:sz w:val="20"/>
          <w:szCs w:val="20"/>
        </w:rPr>
        <w:t xml:space="preserve">Appendix E: Study Director Signature Page and QA Statement of Compliance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6"/>
      </w:pBdr>
      <w:tabs>
        <w:tab w:val="right" w:pos="9360"/>
      </w:tabs>
      <w:spacing w:before="120" w:after="0"/>
    </w:pPr>
    <w:r>
      <w:rPr>
        <w:rFonts w:ascii="Arial" w:cs="Arial" w:eastAsia="Arial" w:hAnsi="Arial"/>
        <w:color w:val="595959"/>
        <w:sz w:val="16"/>
        <w:szCs w:val="16"/>
      </w:rPr>
      <w:t xml:space="preserve">Report: VT-DMPK-004  |  GLP-compliant  |  March 2025  |  21 CFR Part 58  |  </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6"/>
      </w:pBdr>
      <w:spacing w:before="0" w:after="120"/>
    </w:pPr>
    <w:r>
      <w:rPr>
        <w:rFonts w:ascii="Arial" w:cs="Arial" w:eastAsia="Arial" w:hAnsi="Arial"/>
        <w:b/>
        <w:bCs/>
        <w:color w:val="595959"/>
        <w:sz w:val="16"/>
        <w:szCs w:val="16"/>
      </w:rPr>
      <w:t xml:space="preserve">CONFIDENTIAL  |  CERVIMAB  |  IN VITRO CYP INHIBITION/INDUCTION REPORT  |  VT-DMPK-004  |  </w:t>
    </w:r>
    <w:r>
      <w:rPr>
        <w:rFonts w:ascii="Arial" w:cs="Arial" w:eastAsia="Arial" w:hAnsi="Arial"/>
        <w:i/>
        <w:iCs/>
        <w:color w:val="595959"/>
        <w:sz w:val="16"/>
        <w:szCs w:val="16"/>
      </w:rPr>
      <w:t xml:space="preserve">Vanguard Oncology Therapeutics,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FA3"/>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A5632"/>
      <w:sz w:val="22"/>
      <w:szCs w:val="22"/>
    </w:rPr>
  </w:style>
  <w:style w:type="paragraph" w:styleId="Heading4">
    <w:name w:val="Heading 4"/>
    <w:basedOn w:val="Normal"/>
    <w:next w:val="Normal"/>
    <w:qFormat/>
    <w:pPr>
      <w:spacing w:before="120" w:after="60"/>
      <w:outlineLvl w:val="3"/>
    </w:pPr>
    <w:rPr>
      <w:rFonts w:ascii="Arial" w:cs="Arial" w:eastAsia="Arial" w:hAnsi="Arial"/>
      <w:b/>
      <w:bCs/>
      <w:color w:val="8B451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2026-03-16T13:36:25.138Z</dcterms:created>
  <dcterms:modified xsi:type="dcterms:W3CDTF">2026-03-16T13:36:25.139Z</dcterms:modified>
</cp:coreProperties>
</file>

<file path=docProps/custom.xml><?xml version="1.0" encoding="utf-8"?>
<Properties xmlns="http://schemas.openxmlformats.org/officeDocument/2006/custom-properties" xmlns:vt="http://schemas.openxmlformats.org/officeDocument/2006/docPropsVTypes"/>
</file>