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1F3864"/>
          <w:sz w:val="52"/>
          <w:szCs w:val="52"/>
        </w:rPr>
        <w:t xml:space="preserve">INVESTIGATOR BROCHURE</w:t>
      </w:r>
    </w:p>
    <w:p>
      <w:pPr>
        <w:spacing w:before="0" w:after="240"/>
        <w:jc w:val="center"/>
      </w:pPr>
      <w:r>
        <w:rPr>
          <w:rFonts w:ascii="Arial" w:cs="Arial" w:eastAsia="Arial" w:hAnsi="Arial"/>
          <w:b/>
          <w:bCs/>
          <w:color w:val="2E5F8A"/>
          <w:sz w:val="36"/>
          <w:szCs w:val="36"/>
        </w:rPr>
        <w:t xml:space="preserve">Version 4.0</w:t>
      </w:r>
    </w:p>
    <w:p>
      <w:pPr>
        <w:spacing w:before="0" w:after="240"/>
        <w:jc w:val="center"/>
      </w:pPr>
      <w:r>
        <w:rPr>
          <w:color w:val="2E5F8A"/>
          <w:sz w:val="24"/>
          <w:szCs w:val="24"/>
        </w:rPr>
        <w:t xml:space="preserve">────────────────────────────────────────</w:t>
      </w:r>
    </w:p>
    <w:p>
      <w:pPr>
        <w:spacing w:before="0" w:after="80"/>
        <w:jc w:val="center"/>
      </w:pPr>
      <w:r>
        <w:rPr>
          <w:rFonts w:ascii="Arial" w:cs="Arial" w:eastAsia="Arial" w:hAnsi="Arial"/>
          <w:b/>
          <w:bCs/>
          <w:color w:val="1F3864"/>
          <w:sz w:val="52"/>
          <w:szCs w:val="52"/>
        </w:rPr>
        <w:t xml:space="preserve">CERVIMAB</w:t>
      </w:r>
    </w:p>
    <w:p>
      <w:pPr>
        <w:spacing w:before="0" w:after="360"/>
        <w:jc w:val="center"/>
      </w:pPr>
      <w:r>
        <w:rPr>
          <w:rFonts w:ascii="Arial" w:cs="Arial" w:eastAsia="Arial" w:hAnsi="Arial"/>
          <w:color w:val="555555"/>
          <w:sz w:val="28"/>
          <w:szCs w:val="28"/>
        </w:rPr>
        <w:t xml:space="preserve">(Anti-PD-1 Monoclonal Antibody; IgG4/kappa)</w:t>
      </w:r>
    </w:p>
    <w:p>
      <w:pPr>
        <w:spacing w:before="0" w:after="360"/>
        <w:jc w:val="center"/>
      </w:pPr>
      <w:r>
        <w:rPr>
          <w:rFonts w:ascii="Arial" w:cs="Arial" w:eastAsia="Arial" w:hAnsi="Arial"/>
          <w:b/>
          <w:bCs/>
          <w:color w:val="CC0000"/>
          <w:sz w:val="24"/>
          <w:szCs w:val="24"/>
        </w:rPr>
        <w:t xml:space="preserve">For Use in Clinical Investigations — NOT FOR COMMERCIAL USE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Compound Name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INN Status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Proposed INN — pending WHO assignment</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Sponsor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Acme Biosciences, Inc.</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IND Number (FDA)</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123456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IB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4.0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IB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Previous Version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3.0 (September 2025)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Clinical and Regulatory Affairs, Acme Biosciences, Inc.</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Clinical Investigators and Study Site Personnel on Active IND Studies Only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Confidentiality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This IB contains confidential and proprietary information of Acme Biosciences, Inc. Recipients must maintain strict confidentiality per ICH E6(R3) and investigator agreements.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E0" w:val="clear"/>
            <w:tcMar>
              <w:top w:type="dxa" w:w="100"/>
              <w:left w:type="dxa" w:w="180"/>
              <w:bottom w:type="dxa" w:w="100"/>
              <w:right w:type="dxa" w:w="180"/>
            </w:tcMar>
          </w:tcPr>
          <w:p>
            <w:r>
              <w:rPr>
                <w:rFonts w:ascii="Arial" w:cs="Arial" w:eastAsia="Arial" w:hAnsi="Arial"/>
                <w:b/>
                <w:bCs/>
                <w:sz w:val="20"/>
                <w:szCs w:val="20"/>
              </w:rPr>
              <w:t xml:space="preserve">VERSION 4.0 KEY UPDATES (vs. v3.0, September 2025): This IB has been significantly updated to incorporate new cardiac safety information. Immune-mediated myocarditis has been reclassified from 'possible risk' to 'identified important risk' based on two additional cases in the Phase II study, including one fatal case. A new Section 7.4 (Cardiac Safety — Immune-Mediated Myocarditis) and new Appendix D (Myocarditis Recognition and Management Guide) have been added. Investigators must read these new sections before administering further doses to patients. A Protocol Amendment and IND Safety Report have been filed concurrently (IND Amendment No. 012).</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8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Summary of Cervimab</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Introduction — Disease Background and Unmet Medical Need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Physical, Chemical, and Pharmaceutical Properties and Formulation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Non-Clinical Studies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Pharmacology (Mechanism of Action; Primary and Secondary PD)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4.2</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Pharmacokinetics and Product Metabolism (Non-Clinical)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Toxicology Summary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Effects in Humans — Clinical Studies Overview</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 (Dose Escalation and Expansion)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5.2</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II (dMMR/MSI-H mCRC — Study ACME-CERV-CRC-001)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Summary of Data and Guidance for the Investigator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6.1</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Dosing Guidance and Administration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Possible Adverse Reactions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6.3</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Precautions and Contraindications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Special Populations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Safety Guidance — Immune-Related Adverse Events (irAEs)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General irAE Principles and Management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7.2</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Colitis/Enteritis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Hepatitis and Hepatotoxicity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7.4</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Cardiac Toxicity — Immune-Mediated Myocarditis [UPDATED v4.0]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Pneumonitis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7.6</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Endocrinopathies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Dermatological irAEs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7.8</w:t>
            </w:r>
          </w:p>
        </w:tc>
        <w:tc>
          <w:tcPr>
            <w:tcW w:type="dxa" w:w="8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Other Immune-Related Reactions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Appendices</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1. SUMMARY OF CERVIMAB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00"/>
              <w:left w:type="dxa" w:w="180"/>
              <w:bottom w:type="dxa" w:w="100"/>
              <w:right w:type="dxa" w:w="180"/>
            </w:tcMar>
          </w:tcPr>
          <w:p>
            <w:r>
              <w:rPr>
                <w:rFonts w:ascii="Arial" w:cs="Arial" w:eastAsia="Arial" w:hAnsi="Arial"/>
                <w:b/>
                <w:bCs/>
                <w:sz w:val="20"/>
                <w:szCs w:val="20"/>
              </w:rPr>
              <w:t xml:space="preserve">This IB summary provides a concise overview of the current state of knowledge regarding cervimab. Investigators are expected to read the full IB in its entirety before enrolling patients in cervimab clinical trials.</w:t>
            </w:r>
          </w:p>
        </w:tc>
      </w:tr>
    </w:tbl>
    <w:p>
      <w:pPr>
        <w:spacing w:before="60" w:after="60"/>
      </w:pPr>
      <w:r>
        <w:t xml:space="preserve"/>
      </w:r>
    </w:p>
    <w:p>
      <w:pPr>
        <w:spacing w:before="60" w:after="60"/>
        <w:jc w:val="both"/>
      </w:pPr>
      <w:r>
        <w:rPr>
          <w:rFonts w:ascii="Arial" w:cs="Arial" w:eastAsia="Arial" w:hAnsi="Arial"/>
          <w:sz w:val="22"/>
          <w:szCs w:val="22"/>
        </w:rPr>
        <w:t xml:space="preserve">Cervimab is an investigational fully human IgG4 monoclonal antibody that binds with high specificity and affinity (KD = 0.32 nM) to the Programmed Death-1 (PD-1) inhibitory receptor expressed on activated T lymphocytes. By blocking PD-1 interactions with its ligands PD-L1 and PD-L2, cervimab restores anti-tumor immune responses in immunosuppressive tumor microenvironments.</w:t>
      </w:r>
    </w:p>
    <w:p>
      <w:pPr>
        <w:spacing w:before="60" w:after="60"/>
      </w:pPr>
      <w:r>
        <w:t xml:space="preserve"/>
      </w:r>
    </w:p>
    <w:p>
      <w:pPr>
        <w:spacing w:before="60" w:after="60"/>
        <w:jc w:val="both"/>
      </w:pPr>
      <w:r>
        <w:rPr>
          <w:rFonts w:ascii="Arial" w:cs="Arial" w:eastAsia="Arial" w:hAnsi="Arial"/>
          <w:sz w:val="22"/>
          <w:szCs w:val="22"/>
        </w:rPr>
        <w:t xml:space="preserve">Cervimab is being developed for the treatment of dMMR/MSI-H metastatic colorectal cancer (mCRC), a molecularly defined subgroup (~5% of mCRC) characterized by a high somatic tumor mutational burden (TMB), abundant tumor-infiltrating lymphocytes (TILs), and robust responsiveness to PD-1/PD-L1 checkpoint inhibition. The IND currently supports a Phase II study (ACME-CERV-CRC-001; n=87 evaluable) and a Phase III randomized controlled trial (ACME-CERV-CRC-003; n=420 planned).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II Efficacy (Primary Endpoint)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ORR 43.7% (95% CI 33.1-54.7%) by independent central review, RECIST v1.1; Median DOR not reached at 18-month follow-up; Median PFS 8.7 months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Mechanism of Action</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PD-1 receptor blockade → de-repression of CD8+ cytotoxic T lymphocytes → anti-tumor immune activation in dMMR/MSI-H tumors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Dosing</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 IV Q3W over 60 minutes; no dose modification for efficacy; dose adjustment algorithm for irAEs in Section 6.1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Key Non-Clinical Safety Findings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Mechanism-based irAEs in cynomolgus monkey (colitis, pneumonitis at high doses); embryo-fetal developmental toxicity; no unexpected off-target toxicity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Identified Important Risks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Immune-mediated colitis, hepatitis, pneumonitis, myocarditis [NEW v4.0], and endocrinopathies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Potential Risks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Type 1 diabetes mellitus, nephritis, uveitis, neurological irAEs (encephalitis, myasthenia gravis)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Special Populations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studied in severe renal/hepatic impairment; contraindicated in pregnancy; avoid in nursing mothers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IB Version</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 (February 2026) — Major update from v3.0; cardiac section substantially revised (Section 7.4)</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2. INTRODUCTION — DISEASE BACKGROUND AND UNMET MEDICAL NEED</w:t>
      </w:r>
    </w:p>
    <w:p>
      <w:pPr>
        <w:pStyle w:val="Heading2"/>
        <w:spacing w:before="240" w:after="80"/>
      </w:pPr>
      <w:r>
        <w:rPr>
          <w:rFonts w:ascii="Arial" w:cs="Arial" w:eastAsia="Arial" w:hAnsi="Arial"/>
          <w:b/>
          <w:bCs/>
          <w:color w:val="2E5F8A"/>
          <w:sz w:val="24"/>
          <w:szCs w:val="24"/>
        </w:rPr>
        <w:t xml:space="preserve">2.1 Colorectal Cancer — Epidemiology</w:t>
      </w:r>
    </w:p>
    <w:p>
      <w:pPr>
        <w:spacing w:before="60" w:after="60"/>
        <w:jc w:val="both"/>
      </w:pPr>
      <w:r>
        <w:rPr>
          <w:rFonts w:ascii="Arial" w:cs="Arial" w:eastAsia="Arial" w:hAnsi="Arial"/>
          <w:sz w:val="22"/>
          <w:szCs w:val="22"/>
        </w:rPr>
        <w:t xml:space="preserve">Colorectal cancer (CRC) is the third most common cancer and second leading cause of cancer-related mortality worldwide, with an estimated 1.93 million new cases and 935,000 deaths globally in 2022 (Sung et al., CA Cancer J Clin 2021). In the United States, approximately 153,020 new cases are diagnosed and 52,550 deaths occur annually (Siegel et al., CA Cancer J Clin 2023). Approximately 20-25% of patients present with synchronous metastatic disease, and an additional 30% develop metachronous metastases. The 5-year survival rate for metastatic CRC remains approximately 14% despite advances in systemic therapy.</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2.2 dMMR/MSI-H Colorectal Cancer</w:t>
      </w:r>
    </w:p>
    <w:p>
      <w:pPr>
        <w:spacing w:before="60" w:after="60"/>
        <w:jc w:val="both"/>
      </w:pPr>
      <w:r>
        <w:rPr>
          <w:rFonts w:ascii="Arial" w:cs="Arial" w:eastAsia="Arial" w:hAnsi="Arial"/>
          <w:sz w:val="22"/>
          <w:szCs w:val="22"/>
        </w:rPr>
        <w:t xml:space="preserve">Deficient mismatch repair (dMMR) is caused by germline or somatic inactivation of one or more DNA mismatch repair (MMR) genes: MLH1, MSH2, MSH6, or PMS2. Microsatellite instability-high (MSI-H) status, detectable by PCR-based assays or next-generation sequencing (NGS), is the functional consequence of dMMR and results in a characteristic pattern of frameshift mutations at repetitive DNA sequences. dMMR/MSI-H CRC accounts for approximately 4-5% of metastatic CRC (compared to ~15-20% of early-stage CRC, where Lynch syndrome and MLH1 promoter methylation are major drivers).</w:t>
      </w:r>
    </w:p>
    <w:p>
      <w:pPr>
        <w:spacing w:before="60" w:after="60"/>
      </w:pPr>
      <w:r>
        <w:t xml:space="preserve"/>
      </w:r>
    </w:p>
    <w:p>
      <w:pPr>
        <w:spacing w:before="60" w:after="60"/>
        <w:jc w:val="both"/>
      </w:pPr>
      <w:r>
        <w:rPr>
          <w:rFonts w:ascii="Arial" w:cs="Arial" w:eastAsia="Arial" w:hAnsi="Arial"/>
          <w:sz w:val="22"/>
          <w:szCs w:val="22"/>
        </w:rPr>
        <w:t xml:space="preserve">The dMMR/MSI-H phenotype is associated with:</w:t>
      </w:r>
    </w:p>
    <w:p>
      <w:pPr>
        <w:pStyle w:val="ListParagraph"/>
        <w:numPr>
          <w:ilvl w:val="0"/>
          <w:numId w:val="2"/>
        </w:numPr>
        <w:spacing w:before="40" w:after="40"/>
      </w:pPr>
      <w:r>
        <w:rPr>
          <w:rFonts w:ascii="Arial" w:cs="Arial" w:eastAsia="Arial" w:hAnsi="Arial"/>
          <w:sz w:val="22"/>
          <w:szCs w:val="22"/>
        </w:rPr>
        <w:t xml:space="preserve">High somatic tumor mutational burden (TMB): median 40-50 mutations/Mb vs. 2-5 Mb in MSS CRC</w:t>
      </w:r>
    </w:p>
    <w:p>
      <w:pPr>
        <w:pStyle w:val="ListParagraph"/>
        <w:numPr>
          <w:ilvl w:val="0"/>
          <w:numId w:val="2"/>
        </w:numPr>
        <w:spacing w:before="40" w:after="40"/>
      </w:pPr>
      <w:r>
        <w:rPr>
          <w:rFonts w:ascii="Arial" w:cs="Arial" w:eastAsia="Arial" w:hAnsi="Arial"/>
          <w:sz w:val="22"/>
          <w:szCs w:val="22"/>
        </w:rPr>
        <w:t xml:space="preserve">Abundant frameshift peptide-derived neoantigens that are highly immunogenic</w:t>
      </w:r>
    </w:p>
    <w:p>
      <w:pPr>
        <w:pStyle w:val="ListParagraph"/>
        <w:numPr>
          <w:ilvl w:val="0"/>
          <w:numId w:val="2"/>
        </w:numPr>
        <w:spacing w:before="40" w:after="40"/>
      </w:pPr>
      <w:r>
        <w:rPr>
          <w:rFonts w:ascii="Arial" w:cs="Arial" w:eastAsia="Arial" w:hAnsi="Arial"/>
          <w:sz w:val="22"/>
          <w:szCs w:val="22"/>
        </w:rPr>
        <w:t xml:space="preserve">Dense tumor-infiltrating lymphocyte (TIL) infiltration, particularly CD8+ cytotoxic T cells and CD4+ T helper cells</w:t>
      </w:r>
    </w:p>
    <w:p>
      <w:pPr>
        <w:pStyle w:val="ListParagraph"/>
        <w:numPr>
          <w:ilvl w:val="0"/>
          <w:numId w:val="2"/>
        </w:numPr>
        <w:spacing w:before="40" w:after="40"/>
      </w:pPr>
      <w:r>
        <w:rPr>
          <w:rFonts w:ascii="Arial" w:cs="Arial" w:eastAsia="Arial" w:hAnsi="Arial"/>
          <w:sz w:val="22"/>
          <w:szCs w:val="22"/>
        </w:rPr>
        <w:t xml:space="preserve">High expression of immune checkpoints (PD-L1, PD-L2, CTLA-4) in both tumor cells and TILs — compensatory immunosuppression driven by active immune activation</w:t>
      </w:r>
    </w:p>
    <w:p>
      <w:pPr>
        <w:pStyle w:val="ListParagraph"/>
        <w:numPr>
          <w:ilvl w:val="0"/>
          <w:numId w:val="2"/>
        </w:numPr>
        <w:spacing w:before="40" w:after="40"/>
      </w:pPr>
      <w:r>
        <w:rPr>
          <w:rFonts w:ascii="Arial" w:cs="Arial" w:eastAsia="Arial" w:hAnsi="Arial"/>
          <w:sz w:val="22"/>
          <w:szCs w:val="22"/>
        </w:rPr>
        <w:t xml:space="preserve">Resistance to fluoropyrimidine-based chemotherapy (FOLFOX, FOLFIRI) — a key difference from MSS CRC that makes first-line treatment selection critical</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2.3 Current Standard of Care and Unmet Need</w:t>
      </w:r>
    </w:p>
    <w:p>
      <w:pPr>
        <w:spacing w:before="60" w:after="60"/>
        <w:jc w:val="both"/>
      </w:pPr>
      <w:r>
        <w:rPr>
          <w:rFonts w:ascii="Arial" w:cs="Arial" w:eastAsia="Arial" w:hAnsi="Arial"/>
          <w:sz w:val="22"/>
          <w:szCs w:val="22"/>
        </w:rPr>
        <w:t xml:space="preserve">The introduction of pembrolizumab as first-line therapy for dMMR/MSI-H mCRC (KEYNOTE-177) established PD-1 blockade as the preferred approach for this patient population, demonstrating superior PFS (HR=0.60) over chemotherapy. However, a substantial proportion of patients (~57% at 12-month PFS) progress on or after first-line pembrolizumab, creating a need for additional PD-1/PD-L1 blocking agents with potentially differentiated profiles (different epitope binding, combination regimens).</w:t>
      </w:r>
    </w:p>
    <w:p>
      <w:pPr>
        <w:spacing w:before="60" w:after="60"/>
      </w:pPr>
      <w:r>
        <w:t xml:space="preserve"/>
      </w:r>
    </w:p>
    <w:p>
      <w:pPr>
        <w:spacing w:before="60" w:after="60"/>
        <w:jc w:val="both"/>
      </w:pPr>
      <w:r>
        <w:rPr>
          <w:rFonts w:ascii="Arial" w:cs="Arial" w:eastAsia="Arial" w:hAnsi="Arial"/>
          <w:sz w:val="22"/>
          <w:szCs w:val="22"/>
        </w:rPr>
        <w:t xml:space="preserve">Cervimab's unique CDR sequences and epitope of engagement with PD-1 (non-overlapping with pembrolizumab and nivolumab binding regions by epitope mapping) provide a scientific rationale for potential activity in pembrolizumab-refractory patients — a hypothesis currently under clinical investigation in a dedicated cohort of Study ACME-CERV-CRC-001.</w:t>
      </w:r>
    </w:p>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3. PHYSICAL, CHEMICAL, AND PHARMACEUTICAL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International Nonproprietary Name (proposed)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Cervimab</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Chemical Class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Fully human IgG4/kappa monoclonal antibody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Target Antigen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PD-1 (CD279), extracellular domain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Molecular Weight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~148 kDa (by SEC-MALLS)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Isoelectric Point (pI)</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8.4 ± 0.3</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Binding Affinity (KD)</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0.32 nM (human PD-1, SPR)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PD-L1 Blocking IC50</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1.4 nM (competitive binding ELISA)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PD-L2 Blocking IC50</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2.1 nM (competitive binding ELISA)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Formulation (Drug Product)</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mg/mL concentrate for solution for infusion; 100 mg/10 mL vial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Excipients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L-Histidine/HCl buffer (20 mM, pH 6.0), sucrose (80 mg/mL), polysorbate 80 (0.4 mg/mL), WFI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Preparation for Administration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Dilute to 1-4 mg/mL in 0.9% NaCl or 5% Dextrose; administer IV over 60 minutes (30 min minimum if prior cycles tolerated)</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Undiluted: -20°C ± 5°C; protect from light; do not refreeze. Diluted: use within 24 h at 2-8°C or 8 h at room temperature.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In-line Filter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0.2-0.22 µm low protein-binding in-line filter required for administration</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Shelf Life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18 months from manufacture (undiluted DP at -20°C)</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4. NON-CLINICAL STUDIES</w:t>
      </w:r>
    </w:p>
    <w:p>
      <w:pPr>
        <w:pStyle w:val="Heading2"/>
        <w:spacing w:before="240" w:after="80"/>
      </w:pPr>
      <w:r>
        <w:rPr>
          <w:rFonts w:ascii="Arial" w:cs="Arial" w:eastAsia="Arial" w:hAnsi="Arial"/>
          <w:b/>
          <w:bCs/>
          <w:color w:val="2E5F8A"/>
          <w:sz w:val="24"/>
          <w:szCs w:val="24"/>
        </w:rPr>
        <w:t xml:space="preserve">4.1 Pharmacology — Mechanism of Action</w:t>
      </w:r>
    </w:p>
    <w:p>
      <w:pPr>
        <w:spacing w:before="60" w:after="60"/>
        <w:jc w:val="both"/>
      </w:pPr>
      <w:r>
        <w:rPr>
          <w:rFonts w:ascii="Arial" w:cs="Arial" w:eastAsia="Arial" w:hAnsi="Arial"/>
          <w:sz w:val="22"/>
          <w:szCs w:val="22"/>
        </w:rPr>
        <w:t xml:space="preserve">PD-1 is an inhibitory co-receptor expressed on activated T cells, B cells, natural killer (NK) cells, and myeloid cells. Engagement of PD-1 by its ligands PD-L1 (B7-H1; expressed on tumor cells, macrophages, dendritic cells) or PD-L2 (B7-DC; expressed primarily on antigen-presenting cells) recruits SHP-1 and SHP-2 phosphatases, dampening TCR signaling, inhibiting T cell proliferation, reducing cytokine production, and promoting T cell exhaustion.</w:t>
      </w:r>
    </w:p>
    <w:p>
      <w:pPr>
        <w:spacing w:before="60" w:after="60"/>
      </w:pPr>
      <w:r>
        <w:t xml:space="preserve"/>
      </w:r>
    </w:p>
    <w:p>
      <w:pPr>
        <w:spacing w:before="60" w:after="60"/>
        <w:jc w:val="both"/>
      </w:pPr>
      <w:r>
        <w:rPr>
          <w:rFonts w:ascii="Arial" w:cs="Arial" w:eastAsia="Arial" w:hAnsi="Arial"/>
          <w:sz w:val="22"/>
          <w:szCs w:val="22"/>
        </w:rPr>
        <w:t xml:space="preserve">Cervimab binds to the IgV domain of human PD-1 (extracellular, residues 34-150) with KD = 0.32 nM, occupying a non-overlapping epitope with the PD-L1 binding interface (epitope confirmed by X-ray crystallography and HDX-MS). This binding prevents PD-L1 and PD-L2 interactions, de-repressing T cell activity and restoring productive anti-tumor immunity.</w:t>
      </w:r>
    </w:p>
    <w:p>
      <w:pPr>
        <w:spacing w:before="60" w:after="60"/>
      </w:pPr>
      <w:r>
        <w:t xml:space="preserve"/>
      </w:r>
    </w:p>
    <w:p>
      <w:pPr>
        <w:pStyle w:val="Heading3"/>
        <w:spacing w:before="180" w:after="60"/>
      </w:pPr>
      <w:r>
        <w:rPr>
          <w:rFonts w:ascii="Arial" w:cs="Arial" w:eastAsia="Arial" w:hAnsi="Arial"/>
          <w:b/>
          <w:bCs/>
          <w:color w:val="444444"/>
          <w:sz w:val="22"/>
          <w:szCs w:val="22"/>
        </w:rPr>
        <w:t xml:space="preserve">4.1.1 Key Non-Clinical Efficacy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000"/>
        <w:gridCol w:w="17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Treatment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Tumor Growth Inhibition (TGI)</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Complete Responses (CR)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MC38 colon adenocarcinoma (MSI-H, humanized PD-1 knock-in mice)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10 mg/kg IP q3d × 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88.4%</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 (37.5%)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CT26 colon carcinoma (MSS)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Cervimab 10 mg/kg IP q3d × 4</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31.2%</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0/8 (0%)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MC38 (MSI-H) + FOLFOX combination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10 mg/kg + Oxaliplatin 5 mg/kg q7d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94.1%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 (62.5%)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MC38 (rechallenge study)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CRs from monotherapy rechallenged with MC38</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 rejection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8/8 — immune memory confirmed</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4.2 Non-Clinical Pharmacokinetics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Dose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Single-dose IV PK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Cynomolgus monkey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5, 10, 30 mg/kg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Dose-proportional PK; t½ = 14.2 d; CL = 0.23 mL/h/kg; Vss = 63 mL/kg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Repeat-dose PK (13 wk)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Cynomolgus monkey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 15, 50 mg/kg/wk IV</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Linear PK maintained; minimal accumulation (Rac ~1.5); ADA in 2/12 animals (no PK impact)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Tissue distribution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Cynomolgus monkey (3H-labeled)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mg/kg IV</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Predominantly vascular; spleen and lymph nodes show highest tissue:plasma ratios (consistent with PD-1 target expression)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Embryo-fetal transfer</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Cynomolgus monkey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 30 mg/kg</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Transplacental transfer confirmed (fetal:maternal ratio 0.3-0.8 at term); potential fetal immunosuppression</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4.3 Toxicology Summary</w:t>
      </w:r>
    </w:p>
    <w:p>
      <w:pPr>
        <w:pStyle w:val="Heading3"/>
        <w:spacing w:before="180" w:after="60"/>
      </w:pPr>
      <w:r>
        <w:rPr>
          <w:rFonts w:ascii="Arial" w:cs="Arial" w:eastAsia="Arial" w:hAnsi="Arial"/>
          <w:b/>
          <w:bCs/>
          <w:color w:val="444444"/>
          <w:sz w:val="22"/>
          <w:szCs w:val="22"/>
        </w:rPr>
        <w:t xml:space="preserve">4.3.1 Key Toxicological Findings</w:t>
      </w:r>
    </w:p>
    <w:p>
      <w:pPr>
        <w:spacing w:before="60" w:after="60"/>
        <w:jc w:val="both"/>
      </w:pPr>
      <w:r>
        <w:rPr>
          <w:rFonts w:ascii="Arial" w:cs="Arial" w:eastAsia="Arial" w:hAnsi="Arial"/>
          <w:sz w:val="22"/>
          <w:szCs w:val="22"/>
        </w:rPr>
        <w:t xml:space="preserve">All pivotal toxicology studies were conducted in cynomolgus monkeys (Macaca fascicularis), the single relevant species confirmed by PD-1 cross-reactivity and sequence homology (97% amino acid identity to human PD-1 in the cervimab-binding domain).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4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Toxicological Findings</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NOAEL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4-Week GLP (GLP-TOX-001)</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adverse findings. Mild transient ALT elevation at 50 mg/kg/wk (recovered). Lymphoid hyperplasia in spleen and lymph nodes (pharmacological effect). Bone marrow: no changes.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mg/kg/wk (highest tested)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13-Week GLP (GLP-TOX-002)</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1 colitis in 2/6 animals at 50 mg/kg/wk (biopsy: lymphocytic infiltration of lamina propria); Grade 1 pneumonitis (lymphocytic) in 1/6 animals at 50 mg/kg/wk. All reversed with corticosteroids during recovery period.</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15 mg/kg/wk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Embryo-Fetal Dev. (EFD)</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Increased resorption rate at 30 mg/kg (6/8 dams vs. 1/8 control). No structural teratogenicity. Immune-mediated mechanism postulated (fetal PD-1 blockade).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mg/kg (maternal)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Safety Pharmacology (hERG)</w:t>
            </w:r>
          </w:p>
        </w:tc>
        <w:tc>
          <w:tcPr>
            <w:tcW w:type="dxa" w:w="4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 significant inhibition of hERG channel at ≤30 µg/mL (&gt;1000× clinical Cmax). No in vivo QTc prolongation.</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applicable (no effect)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Tissue Cross-Reactivity</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Binding consistent with known PD-1 expression on T/NK cells in human and monkey tissue panels. No unexpected staining pattern.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5. EFFECTS IN HUMANS — CLINICAL STUDIES OVERVIEW</w:t>
      </w:r>
    </w:p>
    <w:p>
      <w:pPr>
        <w:pStyle w:val="Heading2"/>
        <w:spacing w:before="240" w:after="80"/>
      </w:pPr>
      <w:r>
        <w:rPr>
          <w:rFonts w:ascii="Arial" w:cs="Arial" w:eastAsia="Arial" w:hAnsi="Arial"/>
          <w:b/>
          <w:bCs/>
          <w:color w:val="2E5F8A"/>
          <w:sz w:val="24"/>
          <w:szCs w:val="24"/>
        </w:rPr>
        <w:t xml:space="preserve">5.1 Phase I — Dose Escalation and Expansion (ACME-CERV-001)</w:t>
      </w:r>
    </w:p>
    <w:p>
      <w:pPr>
        <w:spacing w:before="60" w:after="60"/>
        <w:jc w:val="both"/>
      </w:pPr>
      <w:r>
        <w:rPr>
          <w:rFonts w:ascii="Arial" w:cs="Arial" w:eastAsia="Arial" w:hAnsi="Arial"/>
          <w:sz w:val="22"/>
          <w:szCs w:val="22"/>
        </w:rPr>
        <w:t xml:space="preserve">Study ACME-CERV-001 was a first-in-human, multicenter, open-label Phase I study conducted in 55 patients with advanced solid tumors (Cohort A: dose escalation, n=25; Cohort B: dMMR/MSI-H CRC expansion, n=30). Dose levels evaluated: 50, 100, 200, 400 mg Q3W IV.</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Dose Level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DLTs (Cycle 1)</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MTD/RP2D Determination</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Safety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mg Q3W (n=6)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 DLTs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Subtherapeutic by PK/PD (&lt;95% receptor occupancy)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Grade ≥3 AEs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 mg Q3W (n=6)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0/6 DLTs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Borderline therapeutic; receptor occupancy 89%</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1-2 irAEs in 2/6</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 Q3W (n=7)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0/7 DLTs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RP2D — receptor occupancy &gt;99%; exposure target met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1-2 irAEs in 4/7; 1 Grade 3 colitis (DLT evaluation cycle 2 — post-DLT window)</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400 mg Q3W (n=6)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0/6 DLTs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Exposure similar to 200 mg (target saturation); no additional efficacy gain</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3 hepatitis n=1</w:t>
            </w:r>
          </w:p>
        </w:tc>
      </w:tr>
    </w:tbl>
    <w:p>
      <w:pPr>
        <w:spacing w:before="60" w:after="60"/>
        <w:jc w:val="both"/>
      </w:pPr>
      <w:r>
        <w:rPr>
          <w:rFonts w:ascii="Arial" w:cs="Arial" w:eastAsia="Arial" w:hAnsi="Arial"/>
          <w:sz w:val="22"/>
          <w:szCs w:val="22"/>
        </w:rPr>
        <w:t xml:space="preserve">The maximum tolerated dose (MTD) was not reached. The recommended Phase 2 dose (RP2D) of 200 mg Q3W was selected based on PK/PD modeling (complete PD-1 receptor saturation), favorable safety profile, and lack of meaningful additional exposure at 400 mg.</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5.2 Phase II — dMMR/MSI-H mCRC (ACME-CERV-CRC-001)</w:t>
      </w:r>
    </w:p>
    <w:p>
      <w:pPr>
        <w:spacing w:before="60" w:after="60"/>
        <w:jc w:val="both"/>
      </w:pPr>
      <w:r>
        <w:rPr>
          <w:rFonts w:ascii="Arial" w:cs="Arial" w:eastAsia="Arial" w:hAnsi="Arial"/>
          <w:sz w:val="22"/>
          <w:szCs w:val="22"/>
        </w:rPr>
        <w:t xml:space="preserve">Study ACME-CERV-CRC-001 is an ongoing, open-label, multicenter, single-arm Phase II study. Patients with dMMR/MSI-H mCRC confirmed by local IHC (MMR protein loss) and/or NGS (MSI-H by FoundationOne CDx or equivalent) who had received ≥1 prior line of fluoropyrimidine-based chemotherapy. Primary endpoint: ORR per RECIST v1.1, independent central review.</w:t>
      </w:r>
    </w:p>
    <w:p>
      <w:pPr>
        <w:spacing w:before="60" w:after="60"/>
      </w:pPr>
      <w:r>
        <w:t xml:space="preserve"/>
      </w:r>
    </w:p>
    <w:p>
      <w:pPr>
        <w:pStyle w:val="Heading3"/>
        <w:spacing w:before="180" w:after="60"/>
      </w:pPr>
      <w:r>
        <w:rPr>
          <w:rFonts w:ascii="Arial" w:cs="Arial" w:eastAsia="Arial" w:hAnsi="Arial"/>
          <w:b/>
          <w:bCs/>
          <w:color w:val="444444"/>
          <w:sz w:val="22"/>
          <w:szCs w:val="22"/>
        </w:rPr>
        <w:t xml:space="preserve">5.2.1 Patient Population (n=87 evaluable; data cutoff November 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Age (range)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59 years (34–78)</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51% / 49%</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ECOG PS 0 / 1 / 2</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 / 61% / 8%</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Prior Lines of Therapy (median)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 (range 1–5)</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MLH1 loss (IHC) / MSH2 loss / MSH6 loss / PMS2 loss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61% / 22% / 12% / 5%</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Lynch Syndrome</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28% (confirmed germline mutation)</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Liver Metastases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44%</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BRAF V600E co-mutation</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RAS co-mutation (KRAS/NRAS)</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Prior anti-VEGF therapy</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61% (bevacizumab in most cases)</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5.2.2 Efficacy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95% CI</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Objective Response Rate (ORR) — Primary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43.7% (38/87)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33.1% – 54.7%</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Complete Response (CR)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Partial Response (PR)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Stable Disease ≥ 8 weeks (SD)</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27.6%</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Progressive Disease (PD)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Evaluable (NE)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Disease Control Rate (DCR; CR+PR+SD≥8wk)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71.3%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60.3% – 80.7%</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Median Duration of Response (DOR)</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Reached (NR)</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LB: 9.3 months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PFS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8.7 months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6.2 months – NR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12-Month PFS Rate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48.3%</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37.4% – 58.5%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OS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Reached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LB: 14.1 months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12-Month OS Rate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72.4%</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61.9% – 80.7%</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6. SUMMARY OF DATA AND GUIDANCE FOR THE INVESTIGATOR</w:t>
      </w:r>
    </w:p>
    <w:p>
      <w:pPr>
        <w:pStyle w:val="Heading2"/>
        <w:spacing w:before="240" w:after="80"/>
      </w:pPr>
      <w:r>
        <w:rPr>
          <w:rFonts w:ascii="Arial" w:cs="Arial" w:eastAsia="Arial" w:hAnsi="Arial"/>
          <w:b/>
          <w:bCs/>
          <w:color w:val="2E5F8A"/>
          <w:sz w:val="24"/>
          <w:szCs w:val="24"/>
        </w:rPr>
        <w:t xml:space="preserve">6.1 Dosing and Administration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Dose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 IV Q3W (Day 1 of each 21-day cycle)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Preparation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Dilute 200 mg (20 mL from two vials) to 1-4 mg/mL in 0.9% NaCl or 5% Dextrose IV bag; gently invert; do NOT shake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Infusion Rate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Infuse over 60 minutes (minimum 30 minutes if prior cycles ≥2 tolerated without infusion-related reactions)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In-Line Filter</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Mandatory: 0.2-0.22 µm low protein-binding polyethersulfone (PES) filter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Tubing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Polyvinylchloride (PVC) or polyolefin tubing; do not use with other drugs via same IV line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Premedication</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required routinely. For patients with prior Grade 1-2 infusion reactions: diphenhydramine 25-50 mg IV + acetaminophen 650 mg PO 30-60 min prior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Dose Modifications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dose reductions permitted. Dose delays, withholding, or permanent discontinuation per irAE management guidelines (Section 7)</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Missed Doses</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If dose delayed ≤14 days from planned date: administer as soon as possible, resume Q3W. If &gt;14 days: resume at next scheduled cycle; do not administer two doses within 7 days.</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6.2 Adverse Reaction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Adverse Event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Any Grade (%)</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3-4 (%)</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Fatigue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Most common AE overall; generally manageable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Immune-mediated colitis / diarrhea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20.3%</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6.4%</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See Section 7.2; corticosteroid-responsive in majority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Rash / Dermatitis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 Section 7.7</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Thyroid disorders (hypothyroid/hyperthyroid)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21.4% combined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 (thyroid storm)</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TSH, free T4 q6 weeks; endocrinology consult if symptomatic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AST/ALT elevation (hepatitis)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13.9%</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See Section 7.3; hepatology consult for Grade ≥2</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Pneumonitis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10.2%</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See Section 7.5; CT chest and pulmonology for Grade ≥2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Adrenal insufficiency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Cortisol stimulation test; hydrocortisone replacement; endocrinology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Immune-mediated MYOCARDITIS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 (Grade 3-4)</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CRITICAL — SEE SECTION 7.4. One fatal case. Troponin monitoring mandatory.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 1 Diabetes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0.5% (DKA)</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Fasting glucose and HbA1c monitoring; insulin therapy</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Infusion-Related Reactions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11.8%</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Protocol-defined management per Section 6.1</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Nausea / Vomiting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Generally transient; antiemetics as needed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Arthralgia / Myalgia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14.4%</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NSAIDs, corticosteroids for Grade ≥2</w:t>
            </w:r>
          </w:p>
        </w:tc>
      </w:tr>
    </w:tbl>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7. SAFETY GUIDANCE — IMMUNE-RELATED ADVERSE EVENTS (irAEs)</w:t>
      </w:r>
    </w:p>
    <w:p>
      <w:pPr>
        <w:pStyle w:val="Heading2"/>
        <w:spacing w:before="240" w:after="80"/>
      </w:pPr>
      <w:r>
        <w:rPr>
          <w:rFonts w:ascii="Arial" w:cs="Arial" w:eastAsia="Arial" w:hAnsi="Arial"/>
          <w:b/>
          <w:bCs/>
          <w:color w:val="2E5F8A"/>
          <w:sz w:val="24"/>
          <w:szCs w:val="24"/>
        </w:rPr>
        <w:t xml:space="preserve">7.1 General irAE Principles</w:t>
      </w:r>
    </w:p>
    <w:p>
      <w:pPr>
        <w:spacing w:before="60" w:after="60"/>
        <w:jc w:val="both"/>
      </w:pPr>
      <w:r>
        <w:rPr>
          <w:rFonts w:ascii="Arial" w:cs="Arial" w:eastAsia="Arial" w:hAnsi="Arial"/>
          <w:sz w:val="22"/>
          <w:szCs w:val="22"/>
        </w:rPr>
        <w:t xml:space="preserve">Immune-related adverse events (irAEs) are the primary toxicity of interest with cervimab and all PD-1/PD-L1 checkpoint inhibitors. irAEs reflect uncontrolled T cell-mediated autoimmune inflammation in various organ systems. Key principles for the investigator:</w:t>
      </w:r>
    </w:p>
    <w:p>
      <w:pPr>
        <w:pStyle w:val="ListParagraph"/>
        <w:numPr>
          <w:ilvl w:val="0"/>
          <w:numId w:val="2"/>
        </w:numPr>
        <w:spacing w:before="40" w:after="40"/>
      </w:pPr>
      <w:r>
        <w:rPr>
          <w:rFonts w:ascii="Arial" w:cs="Arial" w:eastAsia="Arial" w:hAnsi="Arial"/>
          <w:sz w:val="22"/>
          <w:szCs w:val="22"/>
        </w:rPr>
        <w:t xml:space="preserve">Any organ system can be affected. Maintain a high index of suspicion for irAEs in any patient on cervimab presenting with new symptoms.</w:t>
      </w:r>
    </w:p>
    <w:p>
      <w:pPr>
        <w:pStyle w:val="ListParagraph"/>
        <w:numPr>
          <w:ilvl w:val="0"/>
          <w:numId w:val="2"/>
        </w:numPr>
        <w:spacing w:before="40" w:after="40"/>
      </w:pPr>
      <w:r>
        <w:rPr>
          <w:rFonts w:ascii="Arial" w:cs="Arial" w:eastAsia="Arial" w:hAnsi="Arial"/>
          <w:sz w:val="22"/>
          <w:szCs w:val="22"/>
        </w:rPr>
        <w:t xml:space="preserve">Early recognition and prompt intervention are critical. Delayed treatment significantly worsens outcomes, particularly for Grade 3-4 irAEs and cardiac events.</w:t>
      </w:r>
    </w:p>
    <w:p>
      <w:pPr>
        <w:pStyle w:val="ListParagraph"/>
        <w:numPr>
          <w:ilvl w:val="0"/>
          <w:numId w:val="2"/>
        </w:numPr>
        <w:spacing w:before="40" w:after="40"/>
      </w:pPr>
      <w:r>
        <w:rPr>
          <w:rFonts w:ascii="Arial" w:cs="Arial" w:eastAsia="Arial" w:hAnsi="Arial"/>
          <w:sz w:val="22"/>
          <w:szCs w:val="22"/>
        </w:rPr>
        <w:t xml:space="preserve">Corticosteroids are the mainstay of treatment for most irAEs. High-dose IV corticosteroids should be initiated without delay for Grade 3-4 events.</w:t>
      </w:r>
    </w:p>
    <w:p>
      <w:pPr>
        <w:pStyle w:val="ListParagraph"/>
        <w:numPr>
          <w:ilvl w:val="0"/>
          <w:numId w:val="2"/>
        </w:numPr>
        <w:spacing w:before="40" w:after="40"/>
      </w:pPr>
      <w:r>
        <w:rPr>
          <w:rFonts w:ascii="Arial" w:cs="Arial" w:eastAsia="Arial" w:hAnsi="Arial"/>
          <w:sz w:val="22"/>
          <w:szCs w:val="22"/>
        </w:rPr>
        <w:t xml:space="preserve">Steroid-sparing immunosuppressants (mycophenolate mofetil, infliximab, IVIG, tacrolimus) are used for corticosteroid-refractory irAEs — per organ-specific guidance.</w:t>
      </w:r>
    </w:p>
    <w:p>
      <w:pPr>
        <w:pStyle w:val="ListParagraph"/>
        <w:numPr>
          <w:ilvl w:val="0"/>
          <w:numId w:val="2"/>
        </w:numPr>
        <w:spacing w:before="40" w:after="40"/>
      </w:pPr>
      <w:r>
        <w:rPr>
          <w:rFonts w:ascii="Arial" w:cs="Arial" w:eastAsia="Arial" w:hAnsi="Arial"/>
          <w:sz w:val="22"/>
          <w:szCs w:val="22"/>
        </w:rPr>
        <w:t xml:space="preserve">Most irAEs are reversible with prompt management. Fatal irAEs (myocarditis, fulminant hepatitis, toxic epidermal necrolysis) require immediate recognition and action.</w:t>
      </w:r>
    </w:p>
    <w:p>
      <w:pPr>
        <w:pStyle w:val="ListParagraph"/>
        <w:numPr>
          <w:ilvl w:val="0"/>
          <w:numId w:val="2"/>
        </w:numPr>
        <w:spacing w:before="40" w:after="40"/>
      </w:pPr>
      <w:r>
        <w:rPr>
          <w:rFonts w:ascii="Arial" w:cs="Arial" w:eastAsia="Arial" w:hAnsi="Arial"/>
          <w:sz w:val="22"/>
          <w:szCs w:val="22"/>
        </w:rPr>
        <w:t xml:space="preserve">Do NOT administer infliximab for immune-mediated hepatitis or myocarditis — risk of severe/fatal hepatotoxicity and cardiotoxicity.</w:t>
      </w:r>
    </w:p>
    <w:p>
      <w:pPr>
        <w:pStyle w:val="ListParagraph"/>
        <w:numPr>
          <w:ilvl w:val="0"/>
          <w:numId w:val="2"/>
        </w:numPr>
        <w:spacing w:before="40" w:after="40"/>
      </w:pPr>
      <w:r>
        <w:rPr>
          <w:rFonts w:ascii="Arial" w:cs="Arial" w:eastAsia="Arial" w:hAnsi="Arial"/>
          <w:sz w:val="22"/>
          <w:szCs w:val="22"/>
        </w:rPr>
        <w:t xml:space="preserve">Permanently discontinue cervimab for Grade 4 irAEs in most organ systems (exceptions: endocrinopathies — may continue with hormone replacement; dermatitis, if controlled).</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7.4 CARDIAC TOXICITY — IMMUNE-MEDIATED MYOCARDITIS [MAJOR UPDATE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E0" w:val="clear"/>
            <w:tcMar>
              <w:top w:type="dxa" w:w="100"/>
              <w:left w:type="dxa" w:w="180"/>
              <w:bottom w:type="dxa" w:w="100"/>
              <w:right w:type="dxa" w:w="180"/>
            </w:tcMar>
          </w:tcPr>
          <w:p>
            <w:r>
              <w:rPr>
                <w:rFonts w:ascii="Arial" w:cs="Arial" w:eastAsia="Arial" w:hAnsi="Arial"/>
                <w:b/>
                <w:bCs/>
                <w:sz w:val="20"/>
                <w:szCs w:val="20"/>
              </w:rPr>
              <w:t xml:space="preserve">CRITICAL PATIENT SAFETY UPDATE: Immune-mediated myocarditis has been reclassified as an IDENTIFIED IMPORTANT RISK of cervimab (previously: 'possible risk' in IB v3.0). Two cases, including one FATAL case, have been confirmed in the Phase II program. Fatal myocarditis can develop rapidly and without classic prodromal symptoms. Troponin monitoring per the schedule below is MANDATORY for all patients. Investigators must have an established pathway for immediate cardiology consultation.</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7.4.1 Incidence and Clinical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(Cervimab Program, n=187)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Overall Incidence (any grade)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 (3/187 patients)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2 (symptomatic, no hemodynamic compromise)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0.5% (1/187)</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3-4 (hemodynamic compromise, arrhythmia, or troponin &gt;10×ULN)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 (2/187)</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5 (Fatal)</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0.5% (1/187) — cardiogenic shock, Day 22 post-dose 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Time to Onset (post last dose)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 days (range: 11–22 days from last cervimab dose)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Cycles at Onset</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Cycles 4, 6, and 9 (no Cycle 1-3 cases identified to date)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Acute dyspnea (2/3), chest pressure/pain (2/3), new palpitations (1/3), fatigue (3/3)</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Troponin Elevation at Diagnosis</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8.7 ng/mL (fatal case, &gt;200×ULN); 1.8 ng/mL (Grade 2 case, 45×ULN); 0.4 ng/mL (Grade 2 case, 10×ULN)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ECHO Findings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Reduced LVEF (&lt;50%) in 2/3 cases; diffuse hypokinesis in fatal case; normal LVEF in Grade 2 case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Cardiac MRI</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Myocardial edema and late gadolinium enhancement confirmed in all cases where performed (2/3)</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Histopathology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Diffuse lymphocytic infiltration (CD8+ T cells predominant) — autopsy, fatal case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Outcome</w:t>
            </w:r>
          </w:p>
        </w:tc>
        <w:tc>
          <w:tcPr>
            <w:tcW w:type="dxa" w:w="5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Fatal: 1/3; Recovered (no rechallenge): 2/3</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7.4.2 Mandatory Cardiac Monitoring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100"/>
              <w:left w:type="dxa" w:w="180"/>
              <w:bottom w:type="dxa" w:w="100"/>
              <w:right w:type="dxa" w:w="180"/>
            </w:tcMar>
          </w:tcPr>
          <w:p>
            <w:r>
              <w:rPr>
                <w:rFonts w:ascii="Arial" w:cs="Arial" w:eastAsia="Arial" w:hAnsi="Arial"/>
                <w:b/>
                <w:bCs/>
                <w:sz w:val="20"/>
                <w:szCs w:val="20"/>
              </w:rPr>
              <w:t xml:space="preserve">MANDATORY: The cardiac monitoring schedule below applies to ALL patients receiving cervimab and is required per Protocol Amendments. Compliance will be audited.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Threshold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Troponin I (high-sensitivity, hsTnI)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C1D8, C1D15; C2D1, C2D8; then q3 cycles (q9 weeks) or with any cardiac symptoms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Any value &gt;1×ULN: intensify monitoring; &gt;2×ULN: WITHHOLD cervimab; immediate cardiology consult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NT-proBNP</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then q3 cycles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Elevation &gt;2×ULN from baseline: cardiology consult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12-Lead ECG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C1D15; C2D1; q6 cycles; immediately with any cardiac symptoms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ST/T wave changes, QTc &gt;500 ms, new arrhythmia: immediate cardiology evaluation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Echocardiography (ECHO)</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Baseline (all patients with cardiac history or baseline hsTnI elevation); repeat at 6 weeks for high-risk patients; all patients if hsTnI &gt;2×ULN or symptoms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New LVEF reduction or wall motion abnormality: cardiology consult; consider permanent discontinuation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Cardiology Consultation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Mandatory for: PS 2 due to cardiac cause (pre-enrollment); any hsTnI &gt;2×ULN; new ECG changes; LVEF reduction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 not administer next cervimab dose without cardiology clearance if troponin &gt;2×ULN</w:t>
            </w:r>
          </w:p>
        </w:tc>
      </w:tr>
    </w:tbl>
    <w:p>
      <w:pPr>
        <w:spacing w:before="60" w:after="60"/>
      </w:pPr>
      <w:r>
        <w:t xml:space="preserve"/>
      </w:r>
    </w:p>
    <w:p>
      <w:pPr>
        <w:pStyle w:val="Heading3"/>
        <w:spacing w:before="180" w:after="60"/>
      </w:pPr>
      <w:r>
        <w:rPr>
          <w:rFonts w:ascii="Arial" w:cs="Arial" w:eastAsia="Arial" w:hAnsi="Arial"/>
          <w:b/>
          <w:bCs/>
          <w:color w:val="444444"/>
          <w:sz w:val="22"/>
          <w:szCs w:val="22"/>
        </w:rPr>
        <w:t xml:space="preserve">7.4.3 Grading and Management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400"/>
        <w:gridCol w:w="36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Grade (CTCAE v5.0)</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Cervimab</w:t>
            </w:r>
          </w:p>
        </w:tc>
        <w:tc>
          <w:tcPr>
            <w:tcW w:type="dxa" w:w="3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Management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1 — Mild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Asymptomatic; hsTnI 1–2×ULN; no ECG changes; normal ECHO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WITHHOLD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Repeat hsTnI q48h; ECG; echocardiography within 72h; cardiology consult within 24h; resume only if hsTnI ≤1×ULN + no symptoms + cardiologist clearance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2 — Moderate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Symptomatic at rest or exertion; hsTnI 2–10×ULN; mild ECG changes; LVEF 40-50%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WITHHOLD</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Hospital admission (monitored bed); IV methylprednisolone 1 mg/kg/day; cardiology co-management; cardiac MRI; serial troponin/ECG q12-24h; ECHO within 24h. Resume only at Grade ≤1 after multidisciplinary review (cardiologist + sponsor Medical Monitor approval).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3 — Severe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Moderate symptoms, hsTnI &gt;10×ULN, LVEF &lt;40%, hemodynamic compensation maintained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PERMANENTLY DISCONTINUE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ICU-level cardiac monitoring; IV methylprednisolone 500 mg/day × 3–5 days then taper; cardiology consultation mandatory; consider mycophenolate mofetil 1.5 g BID if no improvement at 5 days; IVIG 2 g/kg over 2 days for refractory cases. DO NOT use infliximab.</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Grade 4 — Life-threatening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Hemodynamic compromise (cardiogenic shock, high-degree AV block, sustained VT/VF, vasopressors required)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PERMANENTLY DISCONTINUE</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Emergency: IV methylprednisolone 1000 mg/day; cardiology intensive care; mechanical circulatory support (IABP, VA-ECMO) as clinically indicated; 7-day urgent SAE report to sponsor and FDA; multidisciplinary team including cardiac transplant evaluation.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5 — Fatal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Death due to myocarditis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Autopsy strongly recommended; sponsor MUST be notified immediately. 7-day SUSAR report to FDA per 21 CFR 312.32.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E0E0" w:val="clear"/>
            <w:tcMar>
              <w:top w:type="dxa" w:w="100"/>
              <w:left w:type="dxa" w:w="180"/>
              <w:bottom w:type="dxa" w:w="100"/>
              <w:right w:type="dxa" w:w="180"/>
            </w:tcMar>
          </w:tcPr>
          <w:p>
            <w:r>
              <w:rPr>
                <w:rFonts w:ascii="Arial" w:cs="Arial" w:eastAsia="Arial" w:hAnsi="Arial"/>
                <w:b/>
                <w:bCs/>
                <w:sz w:val="20"/>
                <w:szCs w:val="20"/>
              </w:rPr>
              <w:t xml:space="preserve">DO NOT USE INFLIXIMAB for immune-mediated myocarditis. TNF inhibitors are contraindicated in heart failure and may worsen cardiac function. Use mycophenolate mofetil, IVIG, or tacrolimus as steroid-sparing alternatives.</w:t>
            </w:r>
          </w:p>
        </w:tc>
      </w:tr>
    </w:tbl>
    <w:p>
      <w:pPr>
        <w:spacing w:before="60" w:after="60"/>
      </w:pPr>
      <w:r>
        <w:t xml:space="preserve"/>
      </w:r>
    </w:p>
    <w:p>
      <w:pPr>
        <w:pStyle w:val="Heading2"/>
        <w:spacing w:before="240" w:after="80"/>
      </w:pPr>
      <w:r>
        <w:rPr>
          <w:rFonts w:ascii="Arial" w:cs="Arial" w:eastAsia="Arial" w:hAnsi="Arial"/>
          <w:b/>
          <w:bCs/>
          <w:color w:val="2E5F8A"/>
          <w:sz w:val="24"/>
          <w:szCs w:val="24"/>
        </w:rPr>
        <w:t xml:space="preserve">7.2 Immune-Mediated Colitis</w:t>
      </w:r>
    </w:p>
    <w:p>
      <w:pPr>
        <w:spacing w:before="60" w:after="60"/>
        <w:jc w:val="both"/>
      </w:pPr>
      <w:r>
        <w:rPr>
          <w:rFonts w:ascii="Arial" w:cs="Arial" w:eastAsia="Arial" w:hAnsi="Arial"/>
          <w:sz w:val="22"/>
          <w:szCs w:val="22"/>
        </w:rPr>
        <w:t xml:space="preserve">Immune-mediated colitis/enteritis is the most common Grade ≥3 irAE in the cervimab program (6.4% Grade ≥3). Key features: new onset or worsening diarrhea (≥4 stools/day above baseline = Grade 3); abdominal pain; blood or mucus in stool. Onset typically Cycles 2-6. Distinguish from infectious diarrhea (stool culture, C. difficile) before initiating immunosuppression.</w:t>
      </w:r>
    </w:p>
    <w:p>
      <w:pPr>
        <w:pStyle w:val="ListParagraph"/>
        <w:numPr>
          <w:ilvl w:val="0"/>
          <w:numId w:val="2"/>
        </w:numPr>
        <w:spacing w:before="40" w:after="40"/>
      </w:pPr>
      <w:r>
        <w:rPr>
          <w:rFonts w:ascii="Arial" w:cs="Arial" w:eastAsia="Arial" w:hAnsi="Arial"/>
          <w:sz w:val="22"/>
          <w:szCs w:val="22"/>
        </w:rPr>
        <w:t xml:space="preserve">Grade 1 (mild diarrhea, 1-3 extra stools/day): Symptomatic management; loperamide; maintain hydration; continue cervimab with increased monitoring</w:t>
      </w:r>
    </w:p>
    <w:p>
      <w:pPr>
        <w:pStyle w:val="ListParagraph"/>
        <w:numPr>
          <w:ilvl w:val="0"/>
          <w:numId w:val="2"/>
        </w:numPr>
        <w:spacing w:before="40" w:after="40"/>
      </w:pPr>
      <w:r>
        <w:rPr>
          <w:rFonts w:ascii="Arial" w:cs="Arial" w:eastAsia="Arial" w:hAnsi="Arial"/>
          <w:sz w:val="22"/>
          <w:szCs w:val="22"/>
        </w:rPr>
        <w:t xml:space="preserve">Grade 2 (moderate; 4-6 extra stools/day; abdominal pain): WITHHOLD cervimab; prednisone 1 mg/kg/day PO; GI consult; colonoscopy if no improvement in 3-5 days; resume when Grade ≤1</w:t>
      </w:r>
    </w:p>
    <w:p>
      <w:pPr>
        <w:pStyle w:val="ListParagraph"/>
        <w:numPr>
          <w:ilvl w:val="0"/>
          <w:numId w:val="2"/>
        </w:numPr>
        <w:spacing w:before="40" w:after="40"/>
      </w:pPr>
      <w:r>
        <w:rPr>
          <w:rFonts w:ascii="Arial" w:cs="Arial" w:eastAsia="Arial" w:hAnsi="Arial"/>
          <w:sz w:val="22"/>
          <w:szCs w:val="22"/>
        </w:rPr>
        <w:t xml:space="preserve">Grade 3-4 (severe; &gt;6 stools/day; bloody; fever; peritoneal signs): PERMANENTLY DISCONTINUE; methylprednisolone 1-2 mg/kg/day IV; GI consult; infliximab 5 mg/kg IV × 1-2 doses if no response to steroids in 3-5 days (OK for colitis, unlike cardiac/hepatic irAEs); endoscopy for histological confirmation</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7.3 Hepatitis and Hepatotoxicity</w:t>
      </w:r>
    </w:p>
    <w:p>
      <w:pPr>
        <w:spacing w:before="60" w:after="60"/>
        <w:jc w:val="both"/>
      </w:pPr>
      <w:r>
        <w:rPr>
          <w:rFonts w:ascii="Arial" w:cs="Arial" w:eastAsia="Arial" w:hAnsi="Arial"/>
          <w:sz w:val="22"/>
          <w:szCs w:val="22"/>
        </w:rPr>
        <w:t xml:space="preserve">Immune-mediated hepatitis presents as asymptomatic LFT elevation (most common) or rarely symptomatic jaundice, malaise, and elevated direct bilirubin. Monitor AST, ALT, and total bilirubin at baseline and q3 weeks (each cycle, Day 1).</w:t>
      </w:r>
    </w:p>
    <w:p>
      <w:pPr>
        <w:pStyle w:val="ListParagraph"/>
        <w:numPr>
          <w:ilvl w:val="0"/>
          <w:numId w:val="2"/>
        </w:numPr>
        <w:spacing w:before="40" w:after="40"/>
      </w:pPr>
      <w:r>
        <w:rPr>
          <w:rFonts w:ascii="Arial" w:cs="Arial" w:eastAsia="Arial" w:hAnsi="Arial"/>
          <w:sz w:val="22"/>
          <w:szCs w:val="22"/>
        </w:rPr>
        <w:t xml:space="preserve">Grade 1 (AST/ALT 1–3×ULN): Continue cervimab; increase monitoring to q2 weeks; hepatology consult if persistent</w:t>
      </w:r>
    </w:p>
    <w:p>
      <w:pPr>
        <w:pStyle w:val="ListParagraph"/>
        <w:numPr>
          <w:ilvl w:val="0"/>
          <w:numId w:val="2"/>
        </w:numPr>
        <w:spacing w:before="40" w:after="40"/>
      </w:pPr>
      <w:r>
        <w:rPr>
          <w:rFonts w:ascii="Arial" w:cs="Arial" w:eastAsia="Arial" w:hAnsi="Arial"/>
          <w:sz w:val="22"/>
          <w:szCs w:val="22"/>
        </w:rPr>
        <w:t xml:space="preserve">Grade 2 (3–5×ULN): WITHHOLD cervimab; prednisone 0.5-1 mg/kg/day; resume when Grade ≤1</w:t>
      </w:r>
    </w:p>
    <w:p>
      <w:pPr>
        <w:pStyle w:val="ListParagraph"/>
        <w:numPr>
          <w:ilvl w:val="0"/>
          <w:numId w:val="2"/>
        </w:numPr>
        <w:spacing w:before="40" w:after="40"/>
      </w:pPr>
      <w:r>
        <w:rPr>
          <w:rFonts w:ascii="Arial" w:cs="Arial" w:eastAsia="Arial" w:hAnsi="Arial"/>
          <w:sz w:val="22"/>
          <w:szCs w:val="22"/>
        </w:rPr>
        <w:t xml:space="preserve">Grade 3 (5–20×ULN): PERMANENTLY DISCONTINUE; methylprednisolone 1-2 mg/kg/day IV; hepatology consult; liver biopsy if diagnosis unclear. DO NOT use infliximab (severe hepatotoxicity risk).</w:t>
      </w:r>
    </w:p>
    <w:p>
      <w:pPr>
        <w:pStyle w:val="ListParagraph"/>
        <w:numPr>
          <w:ilvl w:val="0"/>
          <w:numId w:val="2"/>
        </w:numPr>
        <w:spacing w:before="40" w:after="40"/>
      </w:pPr>
      <w:r>
        <w:rPr>
          <w:rFonts w:ascii="Arial" w:cs="Arial" w:eastAsia="Arial" w:hAnsi="Arial"/>
          <w:sz w:val="22"/>
          <w:szCs w:val="22"/>
        </w:rPr>
        <w:t xml:space="preserve">Grade 4 (&gt;20×ULN): PERMANENTLY DISCONTINUE; urgent hepatology referral; liver transplant evaluation if acute liver failure</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7.5 Pneumonitis</w:t>
      </w:r>
    </w:p>
    <w:p>
      <w:pPr>
        <w:spacing w:before="60" w:after="60"/>
        <w:jc w:val="both"/>
      </w:pPr>
      <w:r>
        <w:rPr>
          <w:rFonts w:ascii="Arial" w:cs="Arial" w:eastAsia="Arial" w:hAnsi="Arial"/>
          <w:sz w:val="22"/>
          <w:szCs w:val="22"/>
        </w:rPr>
        <w:t xml:space="preserve">Immune-mediated pneumonitis (any grade: 10.2%; Grade 3-4: 3.2%) typically presents with new or worsening cough, dyspnea, and hypoxia. CT chest with high-resolution images is recommended for any suspected case (ground-glass opacities, consolidation, or mixed pattern). Distinguish from infection, disease progression, and radiation recall pneumonitis.</w:t>
      </w:r>
    </w:p>
    <w:p>
      <w:pPr>
        <w:pStyle w:val="ListParagraph"/>
        <w:numPr>
          <w:ilvl w:val="0"/>
          <w:numId w:val="2"/>
        </w:numPr>
        <w:spacing w:before="40" w:after="40"/>
      </w:pPr>
      <w:r>
        <w:rPr>
          <w:rFonts w:ascii="Arial" w:cs="Arial" w:eastAsia="Arial" w:hAnsi="Arial"/>
          <w:sz w:val="22"/>
          <w:szCs w:val="22"/>
        </w:rPr>
        <w:t xml:space="preserve">Grade 1 (asymptomatic; radiographic only): Withhold cervimab; close monitoring; pulmonology consult; resume when fully resolved</w:t>
      </w:r>
    </w:p>
    <w:p>
      <w:pPr>
        <w:pStyle w:val="ListParagraph"/>
        <w:numPr>
          <w:ilvl w:val="0"/>
          <w:numId w:val="2"/>
        </w:numPr>
        <w:spacing w:before="40" w:after="40"/>
      </w:pPr>
      <w:r>
        <w:rPr>
          <w:rFonts w:ascii="Arial" w:cs="Arial" w:eastAsia="Arial" w:hAnsi="Arial"/>
          <w:sz w:val="22"/>
          <w:szCs w:val="22"/>
        </w:rPr>
        <w:t xml:space="preserve">Grade 2 (symptomatic; new O2 requirement &lt;2L/min): WITHHOLD; prednisone 1 mg/kg/day; bronchoscopy/BAL if clinically indicated</w:t>
      </w:r>
    </w:p>
    <w:p>
      <w:pPr>
        <w:pStyle w:val="ListParagraph"/>
        <w:numPr>
          <w:ilvl w:val="0"/>
          <w:numId w:val="2"/>
        </w:numPr>
        <w:spacing w:before="40" w:after="40"/>
      </w:pPr>
      <w:r>
        <w:rPr>
          <w:rFonts w:ascii="Arial" w:cs="Arial" w:eastAsia="Arial" w:hAnsi="Arial"/>
          <w:sz w:val="22"/>
          <w:szCs w:val="22"/>
        </w:rPr>
        <w:t xml:space="preserve">Grade 3-4 (severe symptoms; ICU-level oxygen; ventilator): PERMANENTLY DISCONTINUE; methylprednisolone 2 mg/kg/day IV; pulmonology/critical care consultation</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7.6 Endocrinopathies</w:t>
      </w:r>
    </w:p>
    <w:p>
      <w:pPr>
        <w:spacing w:before="60" w:after="60"/>
        <w:jc w:val="both"/>
      </w:pPr>
      <w:r>
        <w:rPr>
          <w:rFonts w:ascii="Arial" w:cs="Arial" w:eastAsia="Arial" w:hAnsi="Arial"/>
          <w:sz w:val="22"/>
          <w:szCs w:val="22"/>
        </w:rPr>
        <w:t xml:space="preserve">Thyroid dysfunction is the most common endocrinopathy (21.4% combined). Onset can be primary hypothyroidism (most common), hyperthyroidism (can precede hypothyroidism in thyroiditis), or rarely isolated hypophysitis (adrenal insufficiency + central hypothyroidism).</w:t>
      </w:r>
    </w:p>
    <w:p>
      <w:pPr>
        <w:pStyle w:val="ListParagraph"/>
        <w:numPr>
          <w:ilvl w:val="0"/>
          <w:numId w:val="2"/>
        </w:numPr>
        <w:spacing w:before="40" w:after="40"/>
      </w:pPr>
      <w:r>
        <w:rPr>
          <w:rFonts w:ascii="Arial" w:cs="Arial" w:eastAsia="Arial" w:hAnsi="Arial"/>
          <w:sz w:val="22"/>
          <w:szCs w:val="22"/>
        </w:rPr>
        <w:t xml:space="preserve">Hypothyroidism (TSH &gt;10 mIU/L or symptomatic): Levothyroxine replacement; continue cervimab</w:t>
      </w:r>
    </w:p>
    <w:p>
      <w:pPr>
        <w:pStyle w:val="ListParagraph"/>
        <w:numPr>
          <w:ilvl w:val="0"/>
          <w:numId w:val="2"/>
        </w:numPr>
        <w:spacing w:before="40" w:after="40"/>
      </w:pPr>
      <w:r>
        <w:rPr>
          <w:rFonts w:ascii="Arial" w:cs="Arial" w:eastAsia="Arial" w:hAnsi="Arial"/>
          <w:sz w:val="22"/>
          <w:szCs w:val="22"/>
        </w:rPr>
        <w:t xml:space="preserve">Hyperthyroidism (TSH &lt;0.5 mIU/L): Beta-blocker for symptom control; endocrinology consult; typically self-limited (2-4 weeks); continue cervimab</w:t>
      </w:r>
    </w:p>
    <w:p>
      <w:pPr>
        <w:pStyle w:val="ListParagraph"/>
        <w:numPr>
          <w:ilvl w:val="0"/>
          <w:numId w:val="2"/>
        </w:numPr>
        <w:spacing w:before="40" w:after="40"/>
      </w:pPr>
      <w:r>
        <w:rPr>
          <w:rFonts w:ascii="Arial" w:cs="Arial" w:eastAsia="Arial" w:hAnsi="Arial"/>
          <w:sz w:val="22"/>
          <w:szCs w:val="22"/>
        </w:rPr>
        <w:t xml:space="preserve">Adrenal insufficiency (morning cortisol &lt;10 µg/dL or failed stimulation test): Hydrocortisone replacement (20-30 mg/day in divided doses); stress-dose corticosteroids for procedures/illness; continue cervimab with hormone replacement</w:t>
      </w:r>
    </w:p>
    <w:p>
      <w:pPr>
        <w:spacing w:before="60" w:after="60"/>
      </w:pPr>
      <w:r>
        <w:t xml:space="preserve"/>
      </w:r>
    </w:p>
    <w:p>
      <w:r>
        <w:br w:type="page"/>
      </w:r>
    </w:p>
    <w:p>
      <w:pPr>
        <w:pStyle w:val="Heading1"/>
        <w:pBdr>
          <w:bottom w:val="single" w:color="2E5F8A" w:sz="6" w:space="2"/>
        </w:pBdr>
        <w:spacing w:before="360" w:after="120"/>
      </w:pPr>
      <w:r>
        <w:rPr>
          <w:rFonts w:ascii="Arial" w:cs="Arial" w:eastAsia="Arial" w:hAnsi="Arial"/>
          <w:b/>
          <w:bCs/>
          <w:color w:val="1F3864"/>
          <w:sz w:val="28"/>
          <w:szCs w:val="28"/>
        </w:rPr>
        <w:t xml:space="preserve">8. APPENDICES</w:t>
      </w:r>
    </w:p>
    <w:p>
      <w:pPr>
        <w:pStyle w:val="ListParagraph"/>
        <w:numPr>
          <w:ilvl w:val="0"/>
          <w:numId w:val="2"/>
        </w:numPr>
        <w:spacing w:before="40" w:after="40"/>
      </w:pPr>
      <w:r>
        <w:rPr>
          <w:rFonts w:ascii="Arial" w:cs="Arial" w:eastAsia="Arial" w:hAnsi="Arial"/>
          <w:sz w:val="22"/>
          <w:szCs w:val="22"/>
        </w:rPr>
        <w:t xml:space="preserve">Appendix A: Cervimab Amino Acid Sequences (Heavy Chain, Light Chain) and Disulfide Bond Map</w:t>
      </w:r>
    </w:p>
    <w:p>
      <w:pPr>
        <w:pStyle w:val="ListParagraph"/>
        <w:numPr>
          <w:ilvl w:val="0"/>
          <w:numId w:val="2"/>
        </w:numPr>
        <w:spacing w:before="40" w:after="40"/>
      </w:pPr>
      <w:r>
        <w:rPr>
          <w:rFonts w:ascii="Arial" w:cs="Arial" w:eastAsia="Arial" w:hAnsi="Arial"/>
          <w:sz w:val="22"/>
          <w:szCs w:val="22"/>
        </w:rPr>
        <w:t xml:space="preserve">Appendix B: Summary of Phase I Pharmacokinetic Data (ACME-CERV-001; NCA and PopPK Summary)</w:t>
      </w:r>
    </w:p>
    <w:p>
      <w:pPr>
        <w:pStyle w:val="ListParagraph"/>
        <w:numPr>
          <w:ilvl w:val="0"/>
          <w:numId w:val="2"/>
        </w:numPr>
        <w:spacing w:before="40" w:after="40"/>
      </w:pPr>
      <w:r>
        <w:rPr>
          <w:rFonts w:ascii="Arial" w:cs="Arial" w:eastAsia="Arial" w:hAnsi="Arial"/>
          <w:sz w:val="22"/>
          <w:szCs w:val="22"/>
        </w:rPr>
        <w:t xml:space="preserve">Appendix C: irAE Grading Reference (CTCAE v5.0 Selected Terms — Relevant to Cervimab irAEs)</w:t>
      </w:r>
    </w:p>
    <w:p>
      <w:pPr>
        <w:pStyle w:val="ListParagraph"/>
        <w:numPr>
          <w:ilvl w:val="0"/>
          <w:numId w:val="2"/>
        </w:numPr>
        <w:spacing w:before="40" w:after="40"/>
      </w:pPr>
      <w:r>
        <w:rPr>
          <w:rFonts w:ascii="Arial" w:cs="Arial" w:eastAsia="Arial" w:hAnsi="Arial"/>
          <w:sz w:val="22"/>
          <w:szCs w:val="22"/>
        </w:rPr>
        <w:t xml:space="preserve">Appendix D: Immune-Mediated Myocarditis Recognition and Management Quick Reference Card [NEW v4.0]</w:t>
      </w:r>
    </w:p>
    <w:p>
      <w:pPr>
        <w:pStyle w:val="ListParagraph"/>
        <w:numPr>
          <w:ilvl w:val="0"/>
          <w:numId w:val="2"/>
        </w:numPr>
        <w:spacing w:before="40" w:after="40"/>
      </w:pPr>
      <w:r>
        <w:rPr>
          <w:rFonts w:ascii="Arial" w:cs="Arial" w:eastAsia="Arial" w:hAnsi="Arial"/>
          <w:sz w:val="22"/>
          <w:szCs w:val="22"/>
        </w:rPr>
        <w:t xml:space="preserve">Appendix E: Patient Cardiac Monitoring Schedule and Alert Thresholds — One-Page Reference for Clinical Staff [NEW v4.0]</w:t>
      </w:r>
    </w:p>
    <w:p>
      <w:pPr>
        <w:pStyle w:val="ListParagraph"/>
        <w:numPr>
          <w:ilvl w:val="0"/>
          <w:numId w:val="2"/>
        </w:numPr>
        <w:spacing w:before="40" w:after="40"/>
      </w:pPr>
      <w:r>
        <w:rPr>
          <w:rFonts w:ascii="Arial" w:cs="Arial" w:eastAsia="Arial" w:hAnsi="Arial"/>
          <w:sz w:val="22"/>
          <w:szCs w:val="22"/>
        </w:rPr>
        <w:t xml:space="preserve">Appendix F: References — Clinical Studies, Non-Clinical Studies, and Published Literature</w:t>
      </w:r>
    </w:p>
    <w:p>
      <w:pPr>
        <w:pStyle w:val="ListParagraph"/>
        <w:numPr>
          <w:ilvl w:val="0"/>
          <w:numId w:val="2"/>
        </w:numPr>
        <w:spacing w:before="40" w:after="40"/>
      </w:pPr>
      <w:r>
        <w:rPr>
          <w:rFonts w:ascii="Arial" w:cs="Arial" w:eastAsia="Arial" w:hAnsi="Arial"/>
          <w:sz w:val="22"/>
          <w:szCs w:val="22"/>
        </w:rPr>
        <w:t xml:space="preserve">Appendix G: List of Abbreviations</w:t>
      </w:r>
    </w:p>
    <w:p>
      <w:pPr>
        <w:spacing w:before="60" w:after="60"/>
      </w:pPr>
      <w:r>
        <w:t xml:space="preserve"/>
      </w:r>
    </w:p>
    <w:p>
      <w:pPr>
        <w:pStyle w:val="Heading2"/>
        <w:spacing w:before="240" w:after="80"/>
      </w:pPr>
      <w:r>
        <w:rPr>
          <w:rFonts w:ascii="Arial" w:cs="Arial" w:eastAsia="Arial" w:hAnsi="Arial"/>
          <w:b/>
          <w:bCs/>
          <w:color w:val="2E5F8A"/>
          <w:sz w:val="24"/>
          <w:szCs w:val="24"/>
        </w:rPr>
        <w:t xml:space="preserve">8.1 IB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 of Major Changes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2022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IB; Phase I data (first 10 patients)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January 2023</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Phase I completion; RP2D established (200 mg Q3W); non-clinical sections updated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September 2025</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II interim data (IA1); myocarditis listed as 'possible risk'; irAE section expanded; population PK data added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MAJOR UPDATE: Myocarditis reclassified as 'identified important risk'; two Phase II myocarditis cases (including one fatal) described in detail; new Section 7.4 (cardiac irAE management); new mandatory monitoring schedule; Appendix D and E added; updated safety tables (integrated n=187)</w:t>
            </w:r>
          </w:p>
        </w:tc>
      </w:tr>
    </w:tbl>
    <w:p>
      <w:pPr>
        <w:spacing w:before="60" w:after="60"/>
      </w:pPr>
      <w:r>
        <w:t xml:space="preserve"/>
      </w:r>
    </w:p>
    <w:p>
      <w:pPr>
        <w:spacing w:before="60" w:after="60"/>
      </w:pPr>
      <w:r>
        <w:t xml:space="preserve"/>
      </w:r>
    </w:p>
    <w:p>
      <w:pPr>
        <w:spacing w:before="240" w:after="120"/>
        <w:jc w:val="center"/>
      </w:pPr>
      <w:r>
        <w:rPr>
          <w:rFonts w:ascii="Arial" w:cs="Arial" w:eastAsia="Arial" w:hAnsi="Arial"/>
          <w:b/>
          <w:bCs/>
          <w:color w:val="1F3864"/>
          <w:sz w:val="22"/>
          <w:szCs w:val="22"/>
        </w:rPr>
        <w:t xml:space="preserve">— END OF INVESTIGATOR BROCHURE VERSION 4.0 —</w:t>
      </w:r>
    </w:p>
    <w:p>
      <w:pPr>
        <w:jc w:val="center"/>
      </w:pPr>
      <w:r>
        <w:rPr>
          <w:rFonts w:ascii="Arial" w:cs="Arial" w:eastAsia="Arial" w:hAnsi="Arial"/>
          <w:i/>
          <w:iCs/>
          <w:color w:val="888888"/>
          <w:sz w:val="18"/>
          <w:szCs w:val="18"/>
        </w:rPr>
        <w:t xml:space="preserve">CERVIMAB IB v4.0  |  February 2026  |  Acme Biosciences, Inc.  |  FOR INVESTIGATIONAL USE ONLY</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jc w:val="center"/>
    </w:pPr>
    <w:r>
      <w:rPr>
        <w:rFonts w:ascii="Arial" w:cs="Arial" w:eastAsia="Arial" w:hAnsi="Arial"/>
        <w:color w:val="888888"/>
        <w:sz w:val="18"/>
        <w:szCs w:val="18"/>
      </w:rPr>
      <w:t xml:space="preserve">Acme Biosciences, Inc.  |  IB Version 4.0  |  February 2026  |  FOR INVESTIGATIONAL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spacing w:after="60"/>
    </w:pPr>
    <w:r>
      <w:rPr>
        <w:rFonts w:ascii="Arial" w:cs="Arial" w:eastAsia="Arial" w:hAnsi="Arial"/>
        <w:i/>
        <w:iCs/>
        <w:color w:val="888888"/>
        <w:sz w:val="18"/>
        <w:szCs w:val="18"/>
      </w:rPr>
      <w:t xml:space="preserve">CONFIDENTIAL — INVESTIGATOR BROCHURE v4.0  |  CERVIMAB  |  IND 123456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8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2026-03-16T13:42:52.329Z</dcterms:created>
  <dcterms:modified xsi:type="dcterms:W3CDTF">2026-03-16T13:42:52.329Z</dcterms:modified>
</cp:coreProperties>
</file>

<file path=docProps/custom.xml><?xml version="1.0" encoding="utf-8"?>
<Properties xmlns="http://schemas.openxmlformats.org/officeDocument/2006/custom-properties" xmlns:vt="http://schemas.openxmlformats.org/officeDocument/2006/docPropsVTypes"/>
</file>