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240"/>
      </w:pPr>
      <w:r>
        <w:t xml:space="preserve"/>
      </w:r>
    </w:p>
    <w:p>
      <w:pPr>
        <w:spacing w:before="0" w:after="60"/>
        <w:jc w:val="center"/>
      </w:pPr>
      <w:r>
        <w:rPr>
          <w:rFonts w:ascii="Arial" w:cs="Arial" w:eastAsia="Arial" w:hAnsi="Arial"/>
          <w:b/>
          <w:bCs/>
          <w:color w:val="1F3864"/>
          <w:sz w:val="52"/>
          <w:szCs w:val="52"/>
        </w:rPr>
        <w:t xml:space="preserve">DATA SAFETY MONITORING BOARD</w:t>
      </w:r>
    </w:p>
    <w:p>
      <w:pPr>
        <w:spacing w:before="0" w:after="60"/>
        <w:jc w:val="center"/>
      </w:pPr>
      <w:r>
        <w:rPr>
          <w:rFonts w:ascii="Arial" w:cs="Arial" w:eastAsia="Arial" w:hAnsi="Arial"/>
          <w:b/>
          <w:bCs/>
          <w:color w:val="1F3864"/>
          <w:sz w:val="52"/>
          <w:szCs w:val="52"/>
        </w:rPr>
        <w:t xml:space="preserve">CHARTER</w:t>
      </w:r>
    </w:p>
    <w:p>
      <w:pPr>
        <w:pBdr>
          <w:bottom w:val="single" w:color="2E75B6" w:sz="8" w:space="6"/>
        </w:pBdr>
        <w:spacing w:before="40" w:after="40"/>
        <w:jc w:val="center"/>
      </w:pPr>
      <w:r>
        <w:rPr>
          <w:rFonts w:ascii="Arial" w:cs="Arial" w:eastAsia="Arial" w:hAnsi="Arial"/>
          <w:b/>
          <w:bCs/>
          <w:color w:val="2E75B6"/>
          <w:sz w:val="26"/>
          <w:szCs w:val="26"/>
        </w:rPr>
        <w:t xml:space="preserve">Safety Monitoring Committee for Cervimab Phase 1 SAD/MAD Study</w:t>
      </w:r>
    </w:p>
    <w:p>
      <w:pPr>
        <w:spacing w:before="120" w:after="12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Document ID</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CERV-001-DSMB-CHARTER-001</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Study Protocol</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CERV-001-SAD/MAD v1.0</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IND Number</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[XXXXX]</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Version / Date</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1.0 — [DATE]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Sponsor</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[SPONSOR NAME]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Investigational Drug</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Cervimab — Anti-PD-1 IgG4 Monoclonal Antibody</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Indication</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dMMR/MSI-H Metastatic Colorectal Cancer</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DSMB Status</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Independent — Reports to Sponsor and Regulatory Authorities</w:t>
            </w:r>
          </w:p>
        </w:tc>
      </w:tr>
    </w:tbl>
    <w:p>
      <w:pPr>
        <w:spacing w:before="300" w:after="300"/>
      </w:pPr>
      <w:r>
        <w:t xml:space="preserve"/>
      </w:r>
    </w:p>
    <w:p>
      <w:pPr>
        <w:jc w:val="center"/>
      </w:pPr>
      <w:r>
        <w:rPr>
          <w:rFonts w:ascii="Arial" w:cs="Arial" w:eastAsia="Arial" w:hAnsi="Arial"/>
          <w:i/>
          <w:iCs/>
          <w:color w:val="888888"/>
          <w:sz w:val="16"/>
          <w:szCs w:val="16"/>
        </w:rPr>
        <w:t xml:space="preserve">CONFIDENTIAL — This charter and all DSMB proceedings are strictly confidential. Unauthorized disclosure is prohibited.</w:t>
      </w:r>
    </w:p>
    <w:p>
      <w:r>
        <w:br w:type="page"/>
      </w:r>
    </w:p>
    <w:p>
      <w:pPr>
        <w:pStyle w:val="Heading1"/>
        <w:pBdr>
          <w:bottom w:val="single" w:color="2E75B6" w:sz="6" w:space="4"/>
        </w:pBdr>
        <w:spacing w:before="300" w:after="140"/>
      </w:pPr>
      <w:r>
        <w:rPr>
          <w:rFonts w:ascii="Arial" w:cs="Arial" w:eastAsia="Arial" w:hAnsi="Arial"/>
          <w:b/>
          <w:bCs/>
          <w:color w:val="1F3864"/>
          <w:sz w:val="30"/>
          <w:szCs w:val="30"/>
        </w:rPr>
        <w:t xml:space="preserve">1. INTRODUCTION AND PURPOSE</w:t>
      </w:r>
    </w:p>
    <w:p>
      <w:pPr>
        <w:spacing w:before="80" w:after="80"/>
      </w:pPr>
      <w:r>
        <w:rPr>
          <w:rFonts w:ascii="Arial" w:cs="Arial" w:eastAsia="Arial" w:hAnsi="Arial"/>
          <w:sz w:val="20"/>
          <w:szCs w:val="20"/>
        </w:rPr>
        <w:t xml:space="preserve">The Data Safety Monitoring Board (DSMB) — also referred to as the Safety Review Committee (SRC) or Data Monitoring Committee (DMC) — is an independent expert body established by the Sponsor to provide ongoing oversight of participant safety and data integrity for the Cervimab Phase 1 First-in-Human SAD/MAD clinical study (Protocol CERV-001-SAD/MAD).</w:t>
      </w:r>
    </w:p>
    <w:p>
      <w:pPr>
        <w:spacing w:before="60" w:after="60"/>
      </w:pPr>
      <w:r>
        <w:t xml:space="preserve"/>
      </w:r>
    </w:p>
    <w:p>
      <w:pPr>
        <w:spacing w:before="80" w:after="80"/>
      </w:pPr>
      <w:r>
        <w:rPr>
          <w:rFonts w:ascii="Arial" w:cs="Arial" w:eastAsia="Arial" w:hAnsi="Arial"/>
          <w:sz w:val="20"/>
          <w:szCs w:val="20"/>
        </w:rPr>
        <w:t xml:space="preserve">This Charter defines the DSMB's purpose, composition, independence requirements, responsibilities, decision-making authority, meeting cadence, data access procedures, reporting obligations, and confidentiality requirements. This Charter is a legally binding agreement between DSMB members and the Sponsor and governs all DSMB activities for the duration of the study.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9EAD3" w:val="clear"/>
            <w:tcMar>
              <w:top w:type="dxa" w:w="120"/>
              <w:left w:type="dxa" w:w="200"/>
              <w:bottom w:type="dxa" w:w="120"/>
              <w:right w:type="dxa" w:w="200"/>
            </w:tcMar>
          </w:tcPr>
          <w:p>
            <w:pPr>
              <w:spacing w:before="40" w:after="60"/>
            </w:pPr>
            <w:r>
              <w:rPr>
                <w:rFonts w:ascii="Arial" w:cs="Arial" w:eastAsia="Arial" w:hAnsi="Arial"/>
                <w:b/>
                <w:bCs/>
                <w:color w:val="1D6037"/>
                <w:sz w:val="22"/>
                <w:szCs w:val="22"/>
              </w:rPr>
              <w:t xml:space="preserve">REGULATORY FRAMEWORK</w:t>
            </w:r>
          </w:p>
          <w:p>
            <w:pPr>
              <w:spacing w:before="30" w:after="30"/>
            </w:pPr>
            <w:r>
              <w:rPr>
                <w:rFonts w:ascii="Arial" w:cs="Arial" w:eastAsia="Arial" w:hAnsi="Arial"/>
                <w:sz w:val="19"/>
                <w:szCs w:val="19"/>
              </w:rPr>
              <w:t xml:space="preserve">This DSMB Charter was prepared in accordance with:</w:t>
            </w:r>
          </w:p>
          <w:p>
            <w:pPr>
              <w:spacing w:before="30" w:after="30"/>
            </w:pPr>
            <w:r>
              <w:rPr>
                <w:rFonts w:ascii="Arial" w:cs="Arial" w:eastAsia="Arial" w:hAnsi="Arial"/>
                <w:sz w:val="19"/>
                <w:szCs w:val="19"/>
              </w:rPr>
              <w:t xml:space="preserve">• FDA Guidance for Clinical Trial Sponsors: Establishment and Operation of Clinical Trial Data Monitoring Committees (2006, currently in effect)</w:t>
            </w:r>
          </w:p>
          <w:p>
            <w:pPr>
              <w:spacing w:before="30" w:after="30"/>
            </w:pPr>
            <w:r>
              <w:rPr>
                <w:rFonts w:ascii="Arial" w:cs="Arial" w:eastAsia="Arial" w:hAnsi="Arial"/>
                <w:sz w:val="19"/>
                <w:szCs w:val="19"/>
              </w:rPr>
              <w:t xml:space="preserve">• ICH E6(R2) Good Clinical Practice — Section 5.5 (Data Monitoring Committee)</w:t>
            </w:r>
          </w:p>
          <w:p>
            <w:pPr>
              <w:spacing w:before="30" w:after="30"/>
            </w:pPr>
            <w:r>
              <w:rPr>
                <w:rFonts w:ascii="Arial" w:cs="Arial" w:eastAsia="Arial" w:hAnsi="Arial"/>
                <w:sz w:val="19"/>
                <w:szCs w:val="19"/>
              </w:rPr>
              <w:t xml:space="preserve">• ICH E8(R1) General Considerations for Clinical Studies</w:t>
            </w:r>
          </w:p>
          <w:p>
            <w:pPr>
              <w:spacing w:before="30" w:after="30"/>
            </w:pPr>
            <w:r>
              <w:rPr>
                <w:rFonts w:ascii="Arial" w:cs="Arial" w:eastAsia="Arial" w:hAnsi="Arial"/>
                <w:sz w:val="19"/>
                <w:szCs w:val="19"/>
              </w:rPr>
              <w:t xml:space="preserve">• 21 CFR Part 312 (IND Regulations) — Safety Reporting and Monitoring Requirements</w:t>
            </w:r>
          </w:p>
          <w:p>
            <w:pPr>
              <w:spacing w:before="30" w:after="30"/>
            </w:pPr>
            <w:r>
              <w:rPr>
                <w:rFonts w:ascii="Arial" w:cs="Arial" w:eastAsia="Arial" w:hAnsi="Arial"/>
                <w:sz w:val="19"/>
                <w:szCs w:val="19"/>
              </w:rPr>
              <w:t xml:space="preserve">• FDA Draft Guidance: Adaptive Designs for Clinical Trials of Drugs and Biologics (2019)</w:t>
            </w:r>
          </w:p>
          <w:p>
            <w:pPr>
              <w:spacing w:before="30" w:after="30"/>
            </w:pPr>
            <w:r>
              <w:rPr>
                <w:rFonts w:ascii="Arial" w:cs="Arial" w:eastAsia="Arial" w:hAnsi="Arial"/>
                <w:sz w:val="19"/>
                <w:szCs w:val="19"/>
              </w:rPr>
              <w:t xml:space="preserve">• International Society for Clinical Biostatistics (ISCB) Guidance on Data Monitoring Committees</w:t>
            </w:r>
          </w:p>
        </w:tc>
      </w:tr>
    </w:tbl>
    <w:p>
      <w:pPr>
        <w:spacing w:before="60" w:after="60"/>
      </w:pPr>
      <w:r>
        <w:t xml:space="preserve"/>
      </w:r>
    </w:p>
    <w:p>
      <w:pPr>
        <w:spacing w:before="80" w:after="80"/>
      </w:pPr>
      <w:r>
        <w:rPr>
          <w:rFonts w:ascii="Arial" w:cs="Arial" w:eastAsia="Arial" w:hAnsi="Arial"/>
          <w:sz w:val="20"/>
          <w:szCs w:val="20"/>
        </w:rPr>
        <w:t xml:space="preserve">Given the investigational nature of Cervimab as a first-in-human immunostimulatory PD-1 inhibitor, the DSMB has heightened responsibilities to protect study participants from unforeseen immune-mediated toxicity, cytokine release, and other immune-oncology-related adverse events throughout the dose-escalation phases.</w:t>
      </w:r>
    </w:p>
    <w:p>
      <w:r>
        <w:br w:type="page"/>
      </w:r>
    </w:p>
    <w:p>
      <w:pPr>
        <w:pStyle w:val="Heading1"/>
        <w:pBdr>
          <w:bottom w:val="single" w:color="2E75B6" w:sz="6" w:space="4"/>
        </w:pBdr>
        <w:spacing w:before="300" w:after="140"/>
      </w:pPr>
      <w:r>
        <w:rPr>
          <w:rFonts w:ascii="Arial" w:cs="Arial" w:eastAsia="Arial" w:hAnsi="Arial"/>
          <w:b/>
          <w:bCs/>
          <w:color w:val="1F3864"/>
          <w:sz w:val="30"/>
          <w:szCs w:val="30"/>
        </w:rPr>
        <w:t xml:space="preserve">2. DSMB COMPOSITION AND INDEPENDENCE</w:t>
      </w:r>
    </w:p>
    <w:p>
      <w:pPr>
        <w:pStyle w:val="Heading2"/>
        <w:spacing w:before="200" w:after="100"/>
      </w:pPr>
      <w:r>
        <w:rPr>
          <w:rFonts w:ascii="Arial" w:cs="Arial" w:eastAsia="Arial" w:hAnsi="Arial"/>
          <w:b/>
          <w:bCs/>
          <w:color w:val="2E75B6"/>
          <w:sz w:val="24"/>
          <w:szCs w:val="24"/>
        </w:rPr>
        <w:t xml:space="preserve">2.1 Membership</w:t>
      </w:r>
    </w:p>
    <w:p>
      <w:pPr>
        <w:spacing w:before="80" w:after="80"/>
      </w:pPr>
      <w:r>
        <w:rPr>
          <w:rFonts w:ascii="Arial" w:cs="Arial" w:eastAsia="Arial" w:hAnsi="Arial"/>
          <w:sz w:val="20"/>
          <w:szCs w:val="20"/>
        </w:rPr>
        <w:t xml:space="preserve">The DSMB shall consist of a minimum of five (5) and a maximum of seven (7) members, all of whom must be independent of the Sponsor, clinical study sites, and the conduct of the trial. Required expertise areas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Role</w:t>
            </w:r>
          </w:p>
        </w:tc>
        <w:tc>
          <w:tcPr>
            <w:tcW w:type="dxa" w:w="4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Required Expertise</w:t>
            </w:r>
          </w:p>
        </w:tc>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Number Required</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Chairperson</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Senior oncologist or hematologist with ≥10 years clinical trial experience; familiarity with Phase 1 FIH oncology trial design; experience chairing DMC/DSMB</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1 (voting)</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Oncologist / Immunologist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Board-certified medical oncologist and/or clinical immunologist with specific expertise in PD-1/PD-L1 biology, immune checkpoint inhibitor management, and irAE recognition and management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2 (voting)</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Clinical Pharmacologist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Expert in FIH pharmacokinetics, PK/PD modeling, dose selection, and exposure-response analysis for biologics; experience with immunomodulatory agents preferred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1 (voting)</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Biostatistician</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Ph.D. or equivalent; expertise in Phase 1 dose-escalation design (3+3, BOIN, mTPI, CRM), interim analysis methods, and independent statistical monitoring for oncology trials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1 (voting)</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Patient Safety Advocate / Ethicist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Bioethics or patient advocacy background; experienced in research ethics, vulnerable population protections, and benefit-risk assessment in early-phase oncology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1 (non-voting, advisory)</w:t>
            </w:r>
          </w:p>
        </w:tc>
      </w:tr>
    </w:tbl>
    <w:p>
      <w:pPr>
        <w:pStyle w:val="Heading2"/>
        <w:spacing w:before="200" w:after="100"/>
      </w:pPr>
      <w:r>
        <w:rPr>
          <w:rFonts w:ascii="Arial" w:cs="Arial" w:eastAsia="Arial" w:hAnsi="Arial"/>
          <w:b/>
          <w:bCs/>
          <w:color w:val="2E75B6"/>
          <w:sz w:val="24"/>
          <w:szCs w:val="24"/>
        </w:rPr>
        <w:t xml:space="preserve">2.2 Independence Requirements</w:t>
      </w:r>
    </w:p>
    <w:p>
      <w:pPr>
        <w:spacing w:before="80" w:after="80"/>
      </w:pPr>
      <w:r>
        <w:rPr>
          <w:rFonts w:ascii="Arial" w:cs="Arial" w:eastAsia="Arial" w:hAnsi="Arial"/>
          <w:sz w:val="20"/>
          <w:szCs w:val="20"/>
        </w:rPr>
        <w:t xml:space="preserve">DSMB members must be fully independent of the Sponsor, Principal Investigators, sub-investigators, CRO, contract statisticians, and any entity with a financial interest in the study outcome. The following relationships are DISQUALIFYING:</w:t>
      </w:r>
    </w:p>
    <w:p>
      <w:pPr>
        <w:pStyle w:val="ListParagraph"/>
        <w:numPr>
          <w:ilvl w:val="0"/>
          <w:numId w:val="2"/>
        </w:numPr>
        <w:spacing w:before="60" w:after="60"/>
      </w:pPr>
      <w:r>
        <w:rPr>
          <w:rFonts w:ascii="Arial" w:cs="Arial" w:eastAsia="Arial" w:hAnsi="Arial"/>
          <w:sz w:val="20"/>
          <w:szCs w:val="20"/>
        </w:rPr>
        <w:t xml:space="preserve">Current or pending employment, consulting, or advisory relationships with the Sponsor.</w:t>
      </w:r>
    </w:p>
    <w:p>
      <w:pPr>
        <w:pStyle w:val="ListParagraph"/>
        <w:numPr>
          <w:ilvl w:val="0"/>
          <w:numId w:val="2"/>
        </w:numPr>
        <w:spacing w:before="60" w:after="60"/>
      </w:pPr>
      <w:r>
        <w:rPr>
          <w:rFonts w:ascii="Arial" w:cs="Arial" w:eastAsia="Arial" w:hAnsi="Arial"/>
          <w:sz w:val="20"/>
          <w:szCs w:val="20"/>
        </w:rPr>
        <w:t xml:space="preserve">Equity ownership, stock options, or financial instruments related to the Sponsor or competitive companies.</w:t>
      </w:r>
    </w:p>
    <w:p>
      <w:pPr>
        <w:pStyle w:val="ListParagraph"/>
        <w:numPr>
          <w:ilvl w:val="0"/>
          <w:numId w:val="2"/>
        </w:numPr>
        <w:spacing w:before="60" w:after="60"/>
      </w:pPr>
      <w:r>
        <w:rPr>
          <w:rFonts w:ascii="Arial" w:cs="Arial" w:eastAsia="Arial" w:hAnsi="Arial"/>
          <w:sz w:val="20"/>
          <w:szCs w:val="20"/>
        </w:rPr>
        <w:t xml:space="preserve">Serving as investigator or sub-investigator in this study or any related Cervimab study.</w:t>
      </w:r>
    </w:p>
    <w:p>
      <w:pPr>
        <w:pStyle w:val="ListParagraph"/>
        <w:numPr>
          <w:ilvl w:val="0"/>
          <w:numId w:val="2"/>
        </w:numPr>
        <w:spacing w:before="60" w:after="60"/>
      </w:pPr>
      <w:r>
        <w:rPr>
          <w:rFonts w:ascii="Arial" w:cs="Arial" w:eastAsia="Arial" w:hAnsi="Arial"/>
          <w:sz w:val="20"/>
          <w:szCs w:val="20"/>
        </w:rPr>
        <w:t xml:space="preserve">Prior professional or personal relationships that could compromise objectivity.</w:t>
      </w:r>
    </w:p>
    <w:p>
      <w:pPr>
        <w:spacing w:before="60" w:after="60"/>
      </w:pPr>
      <w:r>
        <w:t xml:space="preserve"/>
      </w:r>
    </w:p>
    <w:p>
      <w:pPr>
        <w:spacing w:before="80" w:after="80"/>
      </w:pPr>
      <w:r>
        <w:rPr>
          <w:rFonts w:ascii="Arial" w:cs="Arial" w:eastAsia="Arial" w:hAnsi="Arial"/>
          <w:sz w:val="20"/>
          <w:szCs w:val="20"/>
        </w:rPr>
        <w:t xml:space="preserve">All DSMB members must submit a signed Conflict of Interest (COI) Disclosure Form prior to the first meeting and annually thereafter. COI disclosures will be reviewed by the Sponsor Legal/Compliance team and a determination of independence confirmed in writing before each meeting.</w:t>
      </w:r>
    </w:p>
    <w:p>
      <w:pPr>
        <w:pStyle w:val="Heading2"/>
        <w:spacing w:before="200" w:after="100"/>
      </w:pPr>
      <w:r>
        <w:rPr>
          <w:rFonts w:ascii="Arial" w:cs="Arial" w:eastAsia="Arial" w:hAnsi="Arial"/>
          <w:b/>
          <w:bCs/>
          <w:color w:val="2E75B6"/>
          <w:sz w:val="24"/>
          <w:szCs w:val="24"/>
        </w:rPr>
        <w:t xml:space="preserve">2.3 Confidential Statistical Analyst</w:t>
      </w:r>
    </w:p>
    <w:p>
      <w:pPr>
        <w:spacing w:before="80" w:after="80"/>
      </w:pPr>
      <w:r>
        <w:rPr>
          <w:rFonts w:ascii="Arial" w:cs="Arial" w:eastAsia="Arial" w:hAnsi="Arial"/>
          <w:sz w:val="20"/>
          <w:szCs w:val="20"/>
        </w:rPr>
        <w:t xml:space="preserve">An Independent Statistical Analyst (ISA), who is neither the trial statistician nor the Sponsor's internal statistician, will be appointed to prepare unblinded statistical reports for closed DSMB sessions. The ISA is bound by the same confidentiality obligations as DSMB members and signs a Data Access and Confidentiality Agreement.</w:t>
      </w:r>
    </w:p>
    <w:p>
      <w:pPr>
        <w:pStyle w:val="Heading2"/>
        <w:spacing w:before="200" w:after="100"/>
      </w:pPr>
      <w:r>
        <w:rPr>
          <w:rFonts w:ascii="Arial" w:cs="Arial" w:eastAsia="Arial" w:hAnsi="Arial"/>
          <w:b/>
          <w:bCs/>
          <w:color w:val="2E75B6"/>
          <w:sz w:val="24"/>
          <w:szCs w:val="24"/>
        </w:rPr>
        <w:t xml:space="preserve">2.4 DSMB Support (Non-Voting Attendees)</w:t>
      </w:r>
    </w:p>
    <w:p>
      <w:pPr>
        <w:spacing w:before="80" w:after="80"/>
      </w:pPr>
      <w:r>
        <w:rPr>
          <w:rFonts w:ascii="Arial" w:cs="Arial" w:eastAsia="Arial" w:hAnsi="Arial"/>
          <w:sz w:val="20"/>
          <w:szCs w:val="20"/>
        </w:rPr>
        <w:t xml:space="preserve">The following Sponsor representatives may attend open sessions of DSMB meetings but are EXCLUDED from closed sessions:</w:t>
      </w:r>
    </w:p>
    <w:p>
      <w:pPr>
        <w:pStyle w:val="ListParagraph"/>
        <w:numPr>
          <w:ilvl w:val="0"/>
          <w:numId w:val="2"/>
        </w:numPr>
        <w:spacing w:before="60" w:after="60"/>
      </w:pPr>
      <w:r>
        <w:rPr>
          <w:rFonts w:ascii="Arial" w:cs="Arial" w:eastAsia="Arial" w:hAnsi="Arial"/>
          <w:sz w:val="20"/>
          <w:szCs w:val="20"/>
        </w:rPr>
        <w:t xml:space="preserve">Sponsor Medical Monitor (Chief Medical Officer or designee)</w:t>
      </w:r>
    </w:p>
    <w:p>
      <w:pPr>
        <w:pStyle w:val="ListParagraph"/>
        <w:numPr>
          <w:ilvl w:val="0"/>
          <w:numId w:val="2"/>
        </w:numPr>
        <w:spacing w:before="60" w:after="60"/>
      </w:pPr>
      <w:r>
        <w:rPr>
          <w:rFonts w:ascii="Arial" w:cs="Arial" w:eastAsia="Arial" w:hAnsi="Arial"/>
          <w:sz w:val="20"/>
          <w:szCs w:val="20"/>
        </w:rPr>
        <w:t xml:space="preserve">Clinical Development Lead / Study Team Lead</w:t>
      </w:r>
    </w:p>
    <w:p>
      <w:pPr>
        <w:pStyle w:val="ListParagraph"/>
        <w:numPr>
          <w:ilvl w:val="0"/>
          <w:numId w:val="2"/>
        </w:numPr>
        <w:spacing w:before="60" w:after="60"/>
      </w:pPr>
      <w:r>
        <w:rPr>
          <w:rFonts w:ascii="Arial" w:cs="Arial" w:eastAsia="Arial" w:hAnsi="Arial"/>
          <w:sz w:val="20"/>
          <w:szCs w:val="20"/>
        </w:rPr>
        <w:t xml:space="preserve">Regulatory Affairs representative (as needed)</w:t>
      </w:r>
    </w:p>
    <w:p>
      <w:pPr>
        <w:pStyle w:val="ListParagraph"/>
        <w:numPr>
          <w:ilvl w:val="0"/>
          <w:numId w:val="2"/>
        </w:numPr>
        <w:spacing w:before="60" w:after="60"/>
      </w:pPr>
      <w:r>
        <w:rPr>
          <w:rFonts w:ascii="Arial" w:cs="Arial" w:eastAsia="Arial" w:hAnsi="Arial"/>
          <w:sz w:val="20"/>
          <w:szCs w:val="20"/>
        </w:rPr>
        <w:t xml:space="preserve">CRO Project Manager (at discretion of DSMB Chair)</w:t>
      </w:r>
    </w:p>
    <w:p>
      <w:r>
        <w:br w:type="page"/>
      </w:r>
    </w:p>
    <w:p>
      <w:pPr>
        <w:pStyle w:val="Heading1"/>
        <w:pBdr>
          <w:bottom w:val="single" w:color="2E75B6" w:sz="6" w:space="4"/>
        </w:pBdr>
        <w:spacing w:before="300" w:after="140"/>
      </w:pPr>
      <w:r>
        <w:rPr>
          <w:rFonts w:ascii="Arial" w:cs="Arial" w:eastAsia="Arial" w:hAnsi="Arial"/>
          <w:b/>
          <w:bCs/>
          <w:color w:val="1F3864"/>
          <w:sz w:val="30"/>
          <w:szCs w:val="30"/>
        </w:rPr>
        <w:t xml:space="preserve">3. DSMB RESPONSIBILITIES AND AUTHORITY</w:t>
      </w:r>
    </w:p>
    <w:p>
      <w:pPr>
        <w:pStyle w:val="Heading2"/>
        <w:spacing w:before="200" w:after="100"/>
      </w:pPr>
      <w:r>
        <w:rPr>
          <w:rFonts w:ascii="Arial" w:cs="Arial" w:eastAsia="Arial" w:hAnsi="Arial"/>
          <w:b/>
          <w:bCs/>
          <w:color w:val="2E75B6"/>
          <w:sz w:val="24"/>
          <w:szCs w:val="24"/>
        </w:rPr>
        <w:t xml:space="preserve">3.1 Core Responsibilities</w:t>
      </w:r>
    </w:p>
    <w:p>
      <w:pPr>
        <w:spacing w:before="80" w:after="80"/>
      </w:pPr>
      <w:r>
        <w:rPr>
          <w:rFonts w:ascii="Arial" w:cs="Arial" w:eastAsia="Arial" w:hAnsi="Arial"/>
          <w:sz w:val="20"/>
          <w:szCs w:val="20"/>
        </w:rPr>
        <w:t xml:space="preserve">The DSMB has the following core responsibilities throughout the duration of Protocol CERV-001-SAD/MAD:</w:t>
      </w:r>
    </w:p>
    <w:p>
      <w:pPr>
        <w:pStyle w:val="ListParagraph"/>
        <w:numPr>
          <w:ilvl w:val="0"/>
          <w:numId w:val="3"/>
        </w:numPr>
        <w:spacing w:before="60" w:after="60"/>
      </w:pPr>
      <w:r>
        <w:rPr>
          <w:rFonts w:ascii="Arial" w:cs="Arial" w:eastAsia="Arial" w:hAnsi="Arial"/>
          <w:sz w:val="20"/>
          <w:szCs w:val="20"/>
        </w:rPr>
        <w:t xml:space="preserve">Review cumulative safety data (AEs, SAEs, irAEs, DLTs, laboratory findings, PK data, immunogenicity data) following completion of each dose cohort DLT assessment window and at scheduled interim safety reviews.</w:t>
      </w:r>
    </w:p>
    <w:p>
      <w:pPr>
        <w:pStyle w:val="ListParagraph"/>
        <w:numPr>
          <w:ilvl w:val="0"/>
          <w:numId w:val="3"/>
        </w:numPr>
        <w:spacing w:before="60" w:after="60"/>
      </w:pPr>
      <w:r>
        <w:rPr>
          <w:rFonts w:ascii="Arial" w:cs="Arial" w:eastAsia="Arial" w:hAnsi="Arial"/>
          <w:sz w:val="20"/>
          <w:szCs w:val="20"/>
        </w:rPr>
        <w:t xml:space="preserve">Render formal written escalation decisions (Proceed / Hold / De-escalate / Stop) prior to initiation of each new dose cohort, in accordance with the Dose Escalation Plan (Document CERV-001-DEP-001).</w:t>
      </w:r>
    </w:p>
    <w:p>
      <w:pPr>
        <w:pStyle w:val="ListParagraph"/>
        <w:numPr>
          <w:ilvl w:val="0"/>
          <w:numId w:val="3"/>
        </w:numPr>
        <w:spacing w:before="60" w:after="60"/>
      </w:pPr>
      <w:r>
        <w:rPr>
          <w:rFonts w:ascii="Arial" w:cs="Arial" w:eastAsia="Arial" w:hAnsi="Arial"/>
          <w:sz w:val="20"/>
          <w:szCs w:val="20"/>
        </w:rPr>
        <w:t xml:space="preserve">Identify emerging safety signals, unexpected toxicity patterns, or evidence of unacceptable harm and communicate findings to the Sponsor Medical Monitor in a timely manner.</w:t>
      </w:r>
    </w:p>
    <w:p>
      <w:pPr>
        <w:pStyle w:val="ListParagraph"/>
        <w:numPr>
          <w:ilvl w:val="0"/>
          <w:numId w:val="3"/>
        </w:numPr>
        <w:spacing w:before="60" w:after="60"/>
      </w:pPr>
      <w:r>
        <w:rPr>
          <w:rFonts w:ascii="Arial" w:cs="Arial" w:eastAsia="Arial" w:hAnsi="Arial"/>
          <w:sz w:val="20"/>
          <w:szCs w:val="20"/>
        </w:rPr>
        <w:t xml:space="preserve">Advise the Sponsor on modifications to the DLT assessment window, sentinel dosing strategy, or protocol procedures if emerging safety data warrant.</w:t>
      </w:r>
    </w:p>
    <w:p>
      <w:pPr>
        <w:pStyle w:val="ListParagraph"/>
        <w:numPr>
          <w:ilvl w:val="0"/>
          <w:numId w:val="3"/>
        </w:numPr>
        <w:spacing w:before="60" w:after="60"/>
      </w:pPr>
      <w:r>
        <w:rPr>
          <w:rFonts w:ascii="Arial" w:cs="Arial" w:eastAsia="Arial" w:hAnsi="Arial"/>
          <w:sz w:val="20"/>
          <w:szCs w:val="20"/>
        </w:rPr>
        <w:t xml:space="preserve">Review all SUSARs (Suspected Unexpected Serious Adverse Reactions) as they occur between scheduled meetings.</w:t>
      </w:r>
    </w:p>
    <w:p>
      <w:pPr>
        <w:pStyle w:val="ListParagraph"/>
        <w:numPr>
          <w:ilvl w:val="0"/>
          <w:numId w:val="3"/>
        </w:numPr>
        <w:spacing w:before="60" w:after="60"/>
      </w:pPr>
      <w:r>
        <w:rPr>
          <w:rFonts w:ascii="Arial" w:cs="Arial" w:eastAsia="Arial" w:hAnsi="Arial"/>
          <w:sz w:val="20"/>
          <w:szCs w:val="20"/>
        </w:rPr>
        <w:t xml:space="preserve">Provide input on MTD determination and RP2D selection based on integrated safety, PK, and PD data.</w:t>
      </w:r>
    </w:p>
    <w:p>
      <w:pPr>
        <w:pStyle w:val="ListParagraph"/>
        <w:numPr>
          <w:ilvl w:val="0"/>
          <w:numId w:val="3"/>
        </w:numPr>
        <w:spacing w:before="60" w:after="60"/>
      </w:pPr>
      <w:r>
        <w:rPr>
          <w:rFonts w:ascii="Arial" w:cs="Arial" w:eastAsia="Arial" w:hAnsi="Arial"/>
          <w:sz w:val="20"/>
          <w:szCs w:val="20"/>
        </w:rPr>
        <w:t xml:space="preserve">Recommend study termination if participant safety is unacceptably compromised, following the stopping rules in the Dose Escalation Plan.</w:t>
      </w:r>
    </w:p>
    <w:p>
      <w:pPr>
        <w:pStyle w:val="ListParagraph"/>
        <w:numPr>
          <w:ilvl w:val="0"/>
          <w:numId w:val="3"/>
        </w:numPr>
        <w:spacing w:before="60" w:after="60"/>
      </w:pPr>
      <w:r>
        <w:rPr>
          <w:rFonts w:ascii="Arial" w:cs="Arial" w:eastAsia="Arial" w:hAnsi="Arial"/>
          <w:sz w:val="20"/>
          <w:szCs w:val="20"/>
        </w:rPr>
        <w:t xml:space="preserve">Review and adjudicate disputed AE causality assessments when the investigator and Sponsor medical monitor disagree.</w:t>
      </w:r>
    </w:p>
    <w:p>
      <w:pPr>
        <w:pStyle w:val="ListParagraph"/>
        <w:numPr>
          <w:ilvl w:val="0"/>
          <w:numId w:val="3"/>
        </w:numPr>
        <w:spacing w:before="60" w:after="60"/>
      </w:pPr>
      <w:r>
        <w:rPr>
          <w:rFonts w:ascii="Arial" w:cs="Arial" w:eastAsia="Arial" w:hAnsi="Arial"/>
          <w:sz w:val="20"/>
          <w:szCs w:val="20"/>
        </w:rPr>
        <w:t xml:space="preserve">Ensure that participants are not subjected to undue risk beyond the accepted benefit-risk profile for the indication.</w:t>
      </w:r>
    </w:p>
    <w:p>
      <w:pPr>
        <w:pStyle w:val="Heading2"/>
        <w:spacing w:before="200" w:after="100"/>
      </w:pPr>
      <w:r>
        <w:rPr>
          <w:rFonts w:ascii="Arial" w:cs="Arial" w:eastAsia="Arial" w:hAnsi="Arial"/>
          <w:b/>
          <w:bCs/>
          <w:color w:val="2E75B6"/>
          <w:sz w:val="24"/>
          <w:szCs w:val="24"/>
        </w:rPr>
        <w:t xml:space="preserve">3.2 DSMB Authority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CCCC" w:val="clear"/>
            <w:tcMar>
              <w:top w:type="dxa" w:w="120"/>
              <w:left w:type="dxa" w:w="200"/>
              <w:bottom w:type="dxa" w:w="120"/>
              <w:right w:type="dxa" w:w="200"/>
            </w:tcMar>
          </w:tcPr>
          <w:p>
            <w:pPr>
              <w:spacing w:before="40" w:after="60"/>
            </w:pPr>
            <w:r>
              <w:rPr>
                <w:rFonts w:ascii="Arial" w:cs="Arial" w:eastAsia="Arial" w:hAnsi="Arial"/>
                <w:b/>
                <w:bCs/>
                <w:color w:val="C00000"/>
                <w:sz w:val="22"/>
                <w:szCs w:val="22"/>
              </w:rPr>
              <w:t xml:space="preserve">DSMB AUTHORITY STATEMENT</w:t>
            </w:r>
          </w:p>
          <w:p>
            <w:pPr>
              <w:spacing w:before="30" w:after="30"/>
            </w:pPr>
            <w:r>
              <w:rPr>
                <w:rFonts w:ascii="Arial" w:cs="Arial" w:eastAsia="Arial" w:hAnsi="Arial"/>
                <w:sz w:val="19"/>
                <w:szCs w:val="19"/>
              </w:rPr>
              <w:t xml:space="preserve">The DSMB has INDEPENDENT AUTHORITY to:</w:t>
            </w:r>
          </w:p>
          <w:p>
            <w:pPr>
              <w:spacing w:before="30" w:after="30"/>
            </w:pPr>
            <w:r>
              <w:rPr>
                <w:rFonts w:ascii="Arial" w:cs="Arial" w:eastAsia="Arial" w:hAnsi="Arial"/>
                <w:sz w:val="19"/>
                <w:szCs w:val="19"/>
              </w:rPr>
              <w:t xml:space="preserve">• Recommend IMMEDIATE SUSPENSION of enrollment and/or dosing at any dose level or across the entire study if a safety signal warrants, without prior Sponsor approval.</w:t>
            </w:r>
          </w:p>
          <w:p>
            <w:pPr>
              <w:spacing w:before="30" w:after="30"/>
            </w:pPr>
            <w:r>
              <w:rPr>
                <w:rFonts w:ascii="Arial" w:cs="Arial" w:eastAsia="Arial" w:hAnsi="Arial"/>
                <w:sz w:val="19"/>
                <w:szCs w:val="19"/>
              </w:rPr>
              <w:t xml:space="preserve">• Recommend unilateral STUDY TERMINATION if the accumulated safety evidence indicates that continuation would expose participants to unacceptable risk.</w:t>
            </w:r>
          </w:p>
          <w:p>
            <w:pPr>
              <w:spacing w:before="30" w:after="30"/>
            </w:pPr>
            <w:r>
              <w:rPr>
                <w:rFonts w:ascii="Arial" w:cs="Arial" w:eastAsia="Arial" w:hAnsi="Arial"/>
                <w:sz w:val="19"/>
                <w:szCs w:val="19"/>
              </w:rPr>
              <w:t xml:space="preserve">• Request ANY additional safety data, analyses, or laboratory testing from the Sponsor at any time.</w:t>
            </w:r>
          </w:p>
          <w:p>
            <w:pPr>
              <w:spacing w:before="30" w:after="30"/>
            </w:pPr>
            <w:r>
              <w:rPr>
                <w:rFonts w:ascii="Arial" w:cs="Arial" w:eastAsia="Arial" w:hAnsi="Arial"/>
                <w:sz w:val="19"/>
                <w:szCs w:val="19"/>
              </w:rPr>
              <w:t xml:space="preserve">• Convene an EMERGENCY meeting at any time upon receipt of a safety alert.</w:t>
            </w:r>
          </w:p>
          <w:p>
            <w:pPr>
              <w:spacing w:before="30" w:after="30"/>
            </w:pPr>
            <w:r>
              <w:rPr>
                <w:rFonts w:ascii="Arial" w:cs="Arial" w:eastAsia="Arial" w:hAnsi="Arial"/>
                <w:sz w:val="19"/>
                <w:szCs w:val="19"/>
              </w:rPr>
              <w:t xml:space="preserve"/>
            </w:r>
          </w:p>
          <w:p>
            <w:pPr>
              <w:spacing w:before="30" w:after="30"/>
            </w:pPr>
            <w:r>
              <w:rPr>
                <w:rFonts w:ascii="Arial" w:cs="Arial" w:eastAsia="Arial" w:hAnsi="Arial"/>
                <w:sz w:val="19"/>
                <w:szCs w:val="19"/>
              </w:rPr>
              <w:t xml:space="preserve">The Sponsor RETAINS authority to accept or reject DSMB escalation recommendations, but MUST NOTIFY FDA within 24 hours of any DSMB recommendation that the Sponsor declines to follow.</w:t>
            </w:r>
          </w:p>
          <w:p>
            <w:pPr>
              <w:spacing w:before="30" w:after="30"/>
            </w:pPr>
            <w:r>
              <w:rPr>
                <w:rFonts w:ascii="Arial" w:cs="Arial" w:eastAsia="Arial" w:hAnsi="Arial"/>
                <w:sz w:val="19"/>
                <w:szCs w:val="19"/>
              </w:rPr>
              <w:t xml:space="preserve">The Sponsor CANNOT override a DSMB recommendation to hold or terminate the study without notifying FDA.</w:t>
            </w:r>
          </w:p>
        </w:tc>
      </w:tr>
    </w:tbl>
    <w:p>
      <w:pPr>
        <w:spacing w:before="60" w:after="60"/>
      </w:pPr>
      <w:r>
        <w:t xml:space="preserve"/>
      </w:r>
    </w:p>
    <w:p>
      <w:pPr>
        <w:pStyle w:val="Heading2"/>
        <w:spacing w:before="200" w:after="100"/>
      </w:pPr>
      <w:r>
        <w:rPr>
          <w:rFonts w:ascii="Arial" w:cs="Arial" w:eastAsia="Arial" w:hAnsi="Arial"/>
          <w:b/>
          <w:bCs/>
          <w:color w:val="2E75B6"/>
          <w:sz w:val="24"/>
          <w:szCs w:val="24"/>
        </w:rPr>
        <w:t xml:space="preserve">3.3 Sponsor Obligations to the DSMB</w:t>
      </w:r>
    </w:p>
    <w:p>
      <w:pPr>
        <w:pStyle w:val="ListParagraph"/>
        <w:numPr>
          <w:ilvl w:val="0"/>
          <w:numId w:val="2"/>
        </w:numPr>
        <w:spacing w:before="60" w:after="60"/>
      </w:pPr>
      <w:r>
        <w:rPr>
          <w:rFonts w:ascii="Arial" w:cs="Arial" w:eastAsia="Arial" w:hAnsi="Arial"/>
          <w:sz w:val="20"/>
          <w:szCs w:val="20"/>
        </w:rPr>
        <w:t xml:space="preserve">Provide the DSMB with complete, accurate, and timely data packages per the schedule defined in Section 5.</w:t>
      </w:r>
    </w:p>
    <w:p>
      <w:pPr>
        <w:pStyle w:val="ListParagraph"/>
        <w:numPr>
          <w:ilvl w:val="0"/>
          <w:numId w:val="2"/>
        </w:numPr>
        <w:spacing w:before="60" w:after="60"/>
      </w:pPr>
      <w:r>
        <w:rPr>
          <w:rFonts w:ascii="Arial" w:cs="Arial" w:eastAsia="Arial" w:hAnsi="Arial"/>
          <w:sz w:val="20"/>
          <w:szCs w:val="20"/>
        </w:rPr>
        <w:t xml:space="preserve">Implement DSMB-approved escalation or safety decisions promptly (within 3 business days for routine decisions; immediately for emergency stops).</w:t>
      </w:r>
    </w:p>
    <w:p>
      <w:pPr>
        <w:pStyle w:val="ListParagraph"/>
        <w:numPr>
          <w:ilvl w:val="0"/>
          <w:numId w:val="2"/>
        </w:numPr>
        <w:spacing w:before="60" w:after="60"/>
      </w:pPr>
      <w:r>
        <w:rPr>
          <w:rFonts w:ascii="Arial" w:cs="Arial" w:eastAsia="Arial" w:hAnsi="Arial"/>
          <w:sz w:val="20"/>
          <w:szCs w:val="20"/>
        </w:rPr>
        <w:t xml:space="preserve">Notify the DSMB of all SUSARs and safety-related protocol amendments within 24 hours.</w:t>
      </w:r>
    </w:p>
    <w:p>
      <w:pPr>
        <w:pStyle w:val="ListParagraph"/>
        <w:numPr>
          <w:ilvl w:val="0"/>
          <w:numId w:val="2"/>
        </w:numPr>
        <w:spacing w:before="60" w:after="60"/>
      </w:pPr>
      <w:r>
        <w:rPr>
          <w:rFonts w:ascii="Arial" w:cs="Arial" w:eastAsia="Arial" w:hAnsi="Arial"/>
          <w:sz w:val="20"/>
          <w:szCs w:val="20"/>
        </w:rPr>
        <w:t xml:space="preserve">Provide the DSMB with updated IB, protocol amendments, and regulatory correspondence (FDA information requests, clinical hold letters) within 5 business days of receipt.</w:t>
      </w:r>
    </w:p>
    <w:p>
      <w:pPr>
        <w:pStyle w:val="ListParagraph"/>
        <w:numPr>
          <w:ilvl w:val="0"/>
          <w:numId w:val="2"/>
        </w:numPr>
        <w:spacing w:before="60" w:after="60"/>
      </w:pPr>
      <w:r>
        <w:rPr>
          <w:rFonts w:ascii="Arial" w:cs="Arial" w:eastAsia="Arial" w:hAnsi="Arial"/>
          <w:sz w:val="20"/>
          <w:szCs w:val="20"/>
        </w:rPr>
        <w:t xml:space="preserve">Maintain all DSMB records as part of the Trial Master File (TMF) per ICH E6(R2).</w:t>
      </w:r>
    </w:p>
    <w:p>
      <w:r>
        <w:br w:type="page"/>
      </w:r>
    </w:p>
    <w:p>
      <w:pPr>
        <w:pStyle w:val="Heading1"/>
        <w:pBdr>
          <w:bottom w:val="single" w:color="2E75B6" w:sz="6" w:space="4"/>
        </w:pBdr>
        <w:spacing w:before="300" w:after="140"/>
      </w:pPr>
      <w:r>
        <w:rPr>
          <w:rFonts w:ascii="Arial" w:cs="Arial" w:eastAsia="Arial" w:hAnsi="Arial"/>
          <w:b/>
          <w:bCs/>
          <w:color w:val="1F3864"/>
          <w:sz w:val="30"/>
          <w:szCs w:val="30"/>
        </w:rPr>
        <w:t xml:space="preserve">4. MEETING STRUCTURE AND SCHEDULE</w:t>
      </w:r>
    </w:p>
    <w:p>
      <w:pPr>
        <w:pStyle w:val="Heading2"/>
        <w:spacing w:before="200" w:after="100"/>
      </w:pPr>
      <w:r>
        <w:rPr>
          <w:rFonts w:ascii="Arial" w:cs="Arial" w:eastAsia="Arial" w:hAnsi="Arial"/>
          <w:b/>
          <w:bCs/>
          <w:color w:val="2E75B6"/>
          <w:sz w:val="24"/>
          <w:szCs w:val="24"/>
        </w:rPr>
        <w:t xml:space="preserve">4.1 Types of DSMB Meetings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Meeting Type</w:t>
            </w:r>
          </w:p>
        </w:tc>
        <w:tc>
          <w:tcPr>
            <w:tcW w:type="dxa" w:w="4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Trigger / Purpose</w:t>
            </w:r>
          </w:p>
        </w:tc>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Format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Organizational Meeting</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Held prior to first patient enrollment; finalizes Charter, data package format, and communication procedures; no patient data reviewed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Teleconference or in person; all members attend</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Routine Safety Review</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After each dose cohort completes its DLT window; mandatory before any cohort escalation decision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Teleconference or videoconference; quorum required</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Interim Review</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Quarterly review of cumulative safety and PK data across all active cohorts; not cohort-specific</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Teleconference; all voting members or designees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Emergency Meeting</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Upon occurrence of: death possibly related to study drug; ≥2 Grade 4 immune-mediated AEs in a cohort; SUSAR of Grade 4 or fatal severity; any event triggering mandatory hold per DEP</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Emergency teleconference within 24–48 hours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RP2D Selection Meeting</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Following completion of all planned dose escalation cohorts; integrated review of safety, PK, PD, and preliminary efficacy for RP2D recommendation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In-person preferred; all voting members</w:t>
            </w:r>
          </w:p>
        </w:tc>
      </w:tr>
    </w:tbl>
    <w:p>
      <w:pPr>
        <w:pStyle w:val="Heading2"/>
        <w:spacing w:before="200" w:after="100"/>
      </w:pPr>
      <w:r>
        <w:rPr>
          <w:rFonts w:ascii="Arial" w:cs="Arial" w:eastAsia="Arial" w:hAnsi="Arial"/>
          <w:b/>
          <w:bCs/>
          <w:color w:val="2E75B6"/>
          <w:sz w:val="24"/>
          <w:szCs w:val="24"/>
        </w:rPr>
        <w:t xml:space="preserve">4.2 Meeting Procedures — Open and Closed Sessions</w:t>
      </w:r>
    </w:p>
    <w:p>
      <w:pPr>
        <w:spacing w:before="80" w:after="80"/>
      </w:pPr>
      <w:r>
        <w:rPr>
          <w:rFonts w:ascii="Arial" w:cs="Arial" w:eastAsia="Arial" w:hAnsi="Arial"/>
          <w:sz w:val="20"/>
          <w:szCs w:val="20"/>
        </w:rPr>
        <w:t xml:space="preserve">Each routine safety review meeting will consist of two distinct sessions:</w:t>
      </w:r>
    </w:p>
    <w:p>
      <w:pPr>
        <w:spacing w:before="60" w:after="60"/>
      </w:pPr>
      <w:r>
        <w:t xml:space="preserve"/>
      </w:r>
    </w:p>
    <w:p>
      <w:pPr>
        <w:spacing w:before="80" w:after="80"/>
      </w:pPr>
      <w:r>
        <w:rPr>
          <w:rFonts w:ascii="Arial" w:cs="Arial" w:eastAsia="Arial" w:hAnsi="Arial"/>
          <w:b/>
          <w:bCs/>
          <w:color w:val="2E75B6"/>
          <w:sz w:val="20"/>
          <w:szCs w:val="20"/>
        </w:rPr>
        <w:t xml:space="preserve">OPEN SESSION:</w:t>
      </w:r>
      <w:r>
        <w:rPr>
          <w:rFonts w:ascii="Arial" w:cs="Arial" w:eastAsia="Arial" w:hAnsi="Arial"/>
          <w:sz w:val="20"/>
          <w:szCs w:val="20"/>
        </w:rPr>
        <w:t xml:space="preserve"> Sponsor attendees permitted. The Principal Investigator or Sponsor Medical Monitor presents a summary of enrollment, protocol adherence, AE overview, outstanding data queries, and any operational issues. DSMB members may ask questions. Individual patient-level data and unblinded group comparisons are NOT presented in the Open Session.</w:t>
      </w:r>
    </w:p>
    <w:p>
      <w:pPr>
        <w:spacing w:before="60" w:after="60"/>
      </w:pPr>
      <w:r>
        <w:t xml:space="preserve"/>
      </w:r>
    </w:p>
    <w:p>
      <w:pPr>
        <w:spacing w:before="80" w:after="80"/>
      </w:pPr>
      <w:r>
        <w:rPr>
          <w:rFonts w:ascii="Arial" w:cs="Arial" w:eastAsia="Arial" w:hAnsi="Arial"/>
          <w:b/>
          <w:bCs/>
          <w:color w:val="C00000"/>
          <w:sz w:val="20"/>
          <w:szCs w:val="20"/>
        </w:rPr>
        <w:t xml:space="preserve">CLOSED SESSION:</w:t>
      </w:r>
      <w:r>
        <w:rPr>
          <w:rFonts w:ascii="Arial" w:cs="Arial" w:eastAsia="Arial" w:hAnsi="Arial"/>
          <w:sz w:val="20"/>
          <w:szCs w:val="20"/>
        </w:rPr>
        <w:t xml:space="preserve"> DSMB members and Independent Statistical Analyst ONLY. Sponsor representatives must leave the meeting room/call. Detailed patient-level safety listings, unblinded cumulative AE tables, PK data by cohort, PD biomarker summaries, and DLT assessments are reviewed. DSMB deliberation and vote occurs in Closed Session. All Closed Session discussions are strictly confidential.</w:t>
      </w:r>
    </w:p>
    <w:p>
      <w:pPr>
        <w:pStyle w:val="Heading2"/>
        <w:spacing w:before="200" w:after="100"/>
      </w:pPr>
      <w:r>
        <w:rPr>
          <w:rFonts w:ascii="Arial" w:cs="Arial" w:eastAsia="Arial" w:hAnsi="Arial"/>
          <w:b/>
          <w:bCs/>
          <w:color w:val="2E75B6"/>
          <w:sz w:val="24"/>
          <w:szCs w:val="24"/>
        </w:rPr>
        <w:t xml:space="preserve">4.3 Quorum Requirements</w:t>
      </w:r>
    </w:p>
    <w:p>
      <w:pPr>
        <w:pStyle w:val="ListParagraph"/>
        <w:numPr>
          <w:ilvl w:val="0"/>
          <w:numId w:val="2"/>
        </w:numPr>
        <w:spacing w:before="60" w:after="60"/>
      </w:pPr>
      <w:r>
        <w:rPr>
          <w:rFonts w:ascii="Arial" w:cs="Arial" w:eastAsia="Arial" w:hAnsi="Arial"/>
          <w:sz w:val="20"/>
          <w:szCs w:val="20"/>
        </w:rPr>
        <w:t xml:space="preserve">Routine and Interim Reviews: All five voting members, or a minimum of four (4) of five voting members required (a quorum). In case of non-attendance, the absent member must provide written input prior to meeting.</w:t>
      </w:r>
    </w:p>
    <w:p>
      <w:pPr>
        <w:pStyle w:val="ListParagraph"/>
        <w:numPr>
          <w:ilvl w:val="0"/>
          <w:numId w:val="2"/>
        </w:numPr>
        <w:spacing w:before="60" w:after="60"/>
      </w:pPr>
      <w:r>
        <w:rPr>
          <w:rFonts w:ascii="Arial" w:cs="Arial" w:eastAsia="Arial" w:hAnsi="Arial"/>
          <w:sz w:val="20"/>
          <w:szCs w:val="20"/>
        </w:rPr>
        <w:t xml:space="preserve">Emergency Meetings: Minimum of three (3) voting members including the Chairperson (or designated co-chair) constitutes quorum. Remaining members must provide written concurrence within 48 hours.</w:t>
      </w:r>
    </w:p>
    <w:p>
      <w:pPr>
        <w:pStyle w:val="ListParagraph"/>
        <w:numPr>
          <w:ilvl w:val="0"/>
          <w:numId w:val="2"/>
        </w:numPr>
        <w:spacing w:before="60" w:after="60"/>
      </w:pPr>
      <w:r>
        <w:rPr>
          <w:rFonts w:ascii="Arial" w:cs="Arial" w:eastAsia="Arial" w:hAnsi="Arial"/>
          <w:sz w:val="20"/>
          <w:szCs w:val="20"/>
        </w:rPr>
        <w:t xml:space="preserve">Organizational and RP2D meetings: All voting members required; no proxy attendance.</w:t>
      </w:r>
    </w:p>
    <w:p>
      <w:pPr>
        <w:pStyle w:val="Heading2"/>
        <w:spacing w:before="200" w:after="100"/>
      </w:pPr>
      <w:r>
        <w:rPr>
          <w:rFonts w:ascii="Arial" w:cs="Arial" w:eastAsia="Arial" w:hAnsi="Arial"/>
          <w:b/>
          <w:bCs/>
          <w:color w:val="2E75B6"/>
          <w:sz w:val="24"/>
          <w:szCs w:val="24"/>
        </w:rPr>
        <w:t xml:space="preserve">4.4 Voting and Recommendation Protocol</w:t>
      </w:r>
    </w:p>
    <w:p>
      <w:pPr>
        <w:spacing w:before="80" w:after="80"/>
      </w:pPr>
      <w:r>
        <w:rPr>
          <w:rFonts w:ascii="Arial" w:cs="Arial" w:eastAsia="Arial" w:hAnsi="Arial"/>
          <w:sz w:val="20"/>
          <w:szCs w:val="20"/>
        </w:rPr>
        <w:t xml:space="preserve">DSMB decisions shall be reached by simple majority vote among attending voting members. In case of tie, the Chairperson casts the deciding vote. The Chairperson communicates the DSMB recommendation to the Sponsor Medical Monitor verbally within 2 hours of meeting close, followed by formal written communication within 3 business days. Dissenting opinions are documented in the meeting minutes.</w:t>
      </w:r>
    </w:p>
    <w:p>
      <w:pPr>
        <w:spacing w:before="80" w:after="80"/>
      </w:pPr>
      <w:r>
        <w:rPr>
          <w:rFonts w:ascii="Arial" w:cs="Arial" w:eastAsia="Arial" w:hAnsi="Arial"/>
          <w:sz w:val="20"/>
          <w:szCs w:val="20"/>
        </w:rPr>
        <w:t xml:space="preserve">Recommendations shall be issued using the following formal language:</w:t>
      </w:r>
    </w:p>
    <w:p>
      <w:pPr>
        <w:pStyle w:val="ListParagraph"/>
        <w:numPr>
          <w:ilvl w:val="0"/>
          <w:numId w:val="2"/>
        </w:numPr>
        <w:spacing w:before="60" w:after="60"/>
      </w:pPr>
      <w:r>
        <w:rPr>
          <w:rFonts w:ascii="Arial" w:cs="Arial" w:eastAsia="Arial" w:hAnsi="Arial"/>
          <w:sz w:val="20"/>
          <w:szCs w:val="20"/>
        </w:rPr>
        <w:t xml:space="preserve">PROCEED — No dose-limiting toxicity or safety concerns precluding escalation; escalation to the next dose level approved.</w:t>
      </w:r>
    </w:p>
    <w:p>
      <w:pPr>
        <w:pStyle w:val="ListParagraph"/>
        <w:numPr>
          <w:ilvl w:val="0"/>
          <w:numId w:val="2"/>
        </w:numPr>
        <w:spacing w:before="60" w:after="60"/>
      </w:pPr>
      <w:r>
        <w:rPr>
          <w:rFonts w:ascii="Arial" w:cs="Arial" w:eastAsia="Arial" w:hAnsi="Arial"/>
          <w:sz w:val="20"/>
          <w:szCs w:val="20"/>
        </w:rPr>
        <w:t xml:space="preserve">HOLD — Escalation suspended pending additional data collection, query resolution, or further DSMB review within [specified timeframe].</w:t>
      </w:r>
    </w:p>
    <w:p>
      <w:pPr>
        <w:pStyle w:val="ListParagraph"/>
        <w:numPr>
          <w:ilvl w:val="0"/>
          <w:numId w:val="2"/>
        </w:numPr>
        <w:spacing w:before="60" w:after="60"/>
      </w:pPr>
      <w:r>
        <w:rPr>
          <w:rFonts w:ascii="Arial" w:cs="Arial" w:eastAsia="Arial" w:hAnsi="Arial"/>
          <w:sz w:val="20"/>
          <w:szCs w:val="20"/>
        </w:rPr>
        <w:t xml:space="preserve">MODIFY — Escalation approved subject to specified protocol modifications (e.g., extended DLT window, reduced increment, additional monitoring, sentinel dosing).</w:t>
      </w:r>
    </w:p>
    <w:p>
      <w:pPr>
        <w:pStyle w:val="ListParagraph"/>
        <w:numPr>
          <w:ilvl w:val="0"/>
          <w:numId w:val="2"/>
        </w:numPr>
        <w:spacing w:before="60" w:after="60"/>
      </w:pPr>
      <w:r>
        <w:rPr>
          <w:rFonts w:ascii="Arial" w:cs="Arial" w:eastAsia="Arial" w:hAnsi="Arial"/>
          <w:sz w:val="20"/>
          <w:szCs w:val="20"/>
        </w:rPr>
        <w:t xml:space="preserve">DE-ESCALATE — Return to prior dose level; current dose level discontinued.</w:t>
      </w:r>
    </w:p>
    <w:p>
      <w:pPr>
        <w:pStyle w:val="ListParagraph"/>
        <w:numPr>
          <w:ilvl w:val="0"/>
          <w:numId w:val="2"/>
        </w:numPr>
        <w:spacing w:before="60" w:after="60"/>
      </w:pPr>
      <w:r>
        <w:rPr>
          <w:rFonts w:ascii="Arial" w:cs="Arial" w:eastAsia="Arial" w:hAnsi="Arial"/>
          <w:sz w:val="20"/>
          <w:szCs w:val="20"/>
        </w:rPr>
        <w:t xml:space="preserve">STOP — Study terminated; all dosing ceased immediately; Sponsor notified for FDA communication.</w:t>
      </w:r>
    </w:p>
    <w:p>
      <w:r>
        <w:br w:type="page"/>
      </w:r>
    </w:p>
    <w:p>
      <w:pPr>
        <w:pStyle w:val="Heading1"/>
        <w:pBdr>
          <w:bottom w:val="single" w:color="2E75B6" w:sz="6" w:space="4"/>
        </w:pBdr>
        <w:spacing w:before="300" w:after="140"/>
      </w:pPr>
      <w:r>
        <w:rPr>
          <w:rFonts w:ascii="Arial" w:cs="Arial" w:eastAsia="Arial" w:hAnsi="Arial"/>
          <w:b/>
          <w:bCs/>
          <w:color w:val="1F3864"/>
          <w:sz w:val="30"/>
          <w:szCs w:val="30"/>
        </w:rPr>
        <w:t xml:space="preserve">5. DATA PACKAGE AND REPORTING REQUIREMENTS</w:t>
      </w:r>
    </w:p>
    <w:p>
      <w:pPr>
        <w:pStyle w:val="Heading2"/>
        <w:spacing w:before="200" w:after="100"/>
      </w:pPr>
      <w:r>
        <w:rPr>
          <w:rFonts w:ascii="Arial" w:cs="Arial" w:eastAsia="Arial" w:hAnsi="Arial"/>
          <w:b/>
          <w:bCs/>
          <w:color w:val="2E75B6"/>
          <w:sz w:val="24"/>
          <w:szCs w:val="24"/>
        </w:rPr>
        <w:t xml:space="preserve">5.1 Routine Safety Data Package</w:t>
      </w:r>
    </w:p>
    <w:p>
      <w:pPr>
        <w:spacing w:before="80" w:after="80"/>
      </w:pPr>
      <w:r>
        <w:rPr>
          <w:rFonts w:ascii="Arial" w:cs="Arial" w:eastAsia="Arial" w:hAnsi="Arial"/>
          <w:sz w:val="20"/>
          <w:szCs w:val="20"/>
        </w:rPr>
        <w:t xml:space="preserve">The Sponsor's Independent Statistical Analyst will prepare a standardized Data Safety Monitoring Report (DSMR) for distribution to DSMB members no later than 5 business days prior to each scheduled meeting. The DSMR will include the following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Section</w:t>
            </w:r>
          </w:p>
        </w:tc>
        <w:tc>
          <w:tcPr>
            <w:tcW w:type="dxa" w:w="6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Content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1. Enrollment Summary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Patients screened, enrolled, treated, completed, ongoing, discontinued (with reasons), and withdrawn by cohort and overall; screen failure log summary</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2. Protocol Deviations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All protocol deviations by category (major/minor); deviation trends affecting DLT evaluability or safety assessment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3. Adverse Events (All Grades)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MedDRA-coded AE listings by patient, cohort, system organ class, and preferred term; maximum grade by patient; treatment-related AE summaries; irAE-specific listings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4. Serious Adverse Events (SAEs)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Narratives for all SAEs since last meeting; outcomes; causality; relatedness; 7-day and 15-day SUSAR filings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5. DLT Listings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DLT evaluation summary by cohort; DLT-evaluability status; narratives for any DLTs or potential DLTs requiring adjudication</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6. Laboratory Summaries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Key hematology and chemistry trends (ANC, platelets, Hgb, ALT/AST, creatinine, bilirubin, thyroid function) by cohort; CTCAE grade shifts from baseline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7. Pharmacokinetics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NCA summary statistics (Cmax, AUC, t1/2, CL, Vd) by cohort; dose-proportionality assessment; accumulation ratios (Part B); any anomalous PK observations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8. Pharmacodynamics / Biomarkers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PD-1 receptor occupancy curves by cohort; cytokine panels; ADA/NAb incidence and titer; tumor biomarker summaries (if available)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9. Deaths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All-cause death narratives; cause of death assessment; relatedness to study drug</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10. Pending Actions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Outstanding safety queries; unresolved DSMB requests from prior meeting; regulatory correspondence</w:t>
            </w:r>
          </w:p>
        </w:tc>
      </w:tr>
    </w:tbl>
    <w:p>
      <w:pPr>
        <w:pStyle w:val="Heading2"/>
        <w:spacing w:before="200" w:after="100"/>
      </w:pPr>
      <w:r>
        <w:rPr>
          <w:rFonts w:ascii="Arial" w:cs="Arial" w:eastAsia="Arial" w:hAnsi="Arial"/>
          <w:b/>
          <w:bCs/>
          <w:color w:val="2E75B6"/>
          <w:sz w:val="24"/>
          <w:szCs w:val="24"/>
        </w:rPr>
        <w:t xml:space="preserve">5.2 Emergency Safety Notifications</w:t>
      </w:r>
    </w:p>
    <w:p>
      <w:pPr>
        <w:spacing w:before="80" w:after="80"/>
      </w:pPr>
      <w:r>
        <w:rPr>
          <w:rFonts w:ascii="Arial" w:cs="Arial" w:eastAsia="Arial" w:hAnsi="Arial"/>
          <w:sz w:val="20"/>
          <w:szCs w:val="20"/>
        </w:rPr>
        <w:t xml:space="preserve">The Sponsor Medical Monitor must notify the DSMB Chairperson within 24 hours of becoming aware of any of the following:</w:t>
      </w:r>
    </w:p>
    <w:p>
      <w:pPr>
        <w:pStyle w:val="ListParagraph"/>
        <w:numPr>
          <w:ilvl w:val="0"/>
          <w:numId w:val="2"/>
        </w:numPr>
        <w:spacing w:before="60" w:after="60"/>
      </w:pPr>
      <w:r>
        <w:rPr>
          <w:rFonts w:ascii="Arial" w:cs="Arial" w:eastAsia="Arial" w:hAnsi="Arial"/>
          <w:sz w:val="20"/>
          <w:szCs w:val="20"/>
        </w:rPr>
        <w:t xml:space="preserve">Any patient death (on-study or within 90-day follow-up period) possibly related to Cervimab.</w:t>
      </w:r>
    </w:p>
    <w:p>
      <w:pPr>
        <w:pStyle w:val="ListParagraph"/>
        <w:numPr>
          <w:ilvl w:val="0"/>
          <w:numId w:val="2"/>
        </w:numPr>
        <w:spacing w:before="60" w:after="60"/>
      </w:pPr>
      <w:r>
        <w:rPr>
          <w:rFonts w:ascii="Arial" w:cs="Arial" w:eastAsia="Arial" w:hAnsi="Arial"/>
          <w:sz w:val="20"/>
          <w:szCs w:val="20"/>
        </w:rPr>
        <w:t xml:space="preserve">Any Grade 4 or 5 treatment-emergent adverse event (CTCAE v5.0) that is possibly related.</w:t>
      </w:r>
    </w:p>
    <w:p>
      <w:pPr>
        <w:pStyle w:val="ListParagraph"/>
        <w:numPr>
          <w:ilvl w:val="0"/>
          <w:numId w:val="2"/>
        </w:numPr>
        <w:spacing w:before="60" w:after="60"/>
      </w:pPr>
      <w:r>
        <w:rPr>
          <w:rFonts w:ascii="Arial" w:cs="Arial" w:eastAsia="Arial" w:hAnsi="Arial"/>
          <w:sz w:val="20"/>
          <w:szCs w:val="20"/>
        </w:rPr>
        <w:t xml:space="preserve">Any SUSAR (fatal or non-fatal/non-life-threatening).</w:t>
      </w:r>
    </w:p>
    <w:p>
      <w:pPr>
        <w:pStyle w:val="ListParagraph"/>
        <w:numPr>
          <w:ilvl w:val="0"/>
          <w:numId w:val="2"/>
        </w:numPr>
        <w:spacing w:before="60" w:after="60"/>
      </w:pPr>
      <w:r>
        <w:rPr>
          <w:rFonts w:ascii="Arial" w:cs="Arial" w:eastAsia="Arial" w:hAnsi="Arial"/>
          <w:sz w:val="20"/>
          <w:szCs w:val="20"/>
        </w:rPr>
        <w:t xml:space="preserve">Any FDA Information Request, Clinical Hold, or Safety-Related IND Amendment.</w:t>
      </w:r>
    </w:p>
    <w:p>
      <w:pPr>
        <w:pStyle w:val="ListParagraph"/>
        <w:numPr>
          <w:ilvl w:val="0"/>
          <w:numId w:val="2"/>
        </w:numPr>
        <w:spacing w:before="60" w:after="60"/>
      </w:pPr>
      <w:r>
        <w:rPr>
          <w:rFonts w:ascii="Arial" w:cs="Arial" w:eastAsia="Arial" w:hAnsi="Arial"/>
          <w:sz w:val="20"/>
          <w:szCs w:val="20"/>
        </w:rPr>
        <w:t xml:space="preserve">Any event triggering a mandatory study hold per the Dose Escalation Plan.</w:t>
      </w:r>
    </w:p>
    <w:p>
      <w:pPr>
        <w:spacing w:before="60" w:after="60"/>
      </w:pPr>
      <w:r>
        <w:t xml:space="preserve"/>
      </w:r>
    </w:p>
    <w:p>
      <w:pPr>
        <w:spacing w:before="80" w:after="80"/>
      </w:pPr>
      <w:r>
        <w:rPr>
          <w:rFonts w:ascii="Arial" w:cs="Arial" w:eastAsia="Arial" w:hAnsi="Arial"/>
          <w:sz w:val="20"/>
          <w:szCs w:val="20"/>
        </w:rPr>
        <w:t xml:space="preserve">Emergency notifications will be delivered by phone (Chairperson) and email (all members simultaneously) and include: patient identifier, cohort and dose level, event description, CTCAE grade, causality assessment, and any immediate actions taken.</w:t>
      </w:r>
    </w:p>
    <w:p>
      <w:pPr>
        <w:pStyle w:val="Heading2"/>
        <w:spacing w:before="200" w:after="100"/>
      </w:pPr>
      <w:r>
        <w:rPr>
          <w:rFonts w:ascii="Arial" w:cs="Arial" w:eastAsia="Arial" w:hAnsi="Arial"/>
          <w:b/>
          <w:bCs/>
          <w:color w:val="2E75B6"/>
          <w:sz w:val="24"/>
          <w:szCs w:val="24"/>
        </w:rPr>
        <w:t xml:space="preserve">5.3 DSMB Meeting Minutes and Recommendations</w:t>
      </w:r>
    </w:p>
    <w:p>
      <w:pPr>
        <w:spacing w:before="80" w:after="80"/>
      </w:pPr>
      <w:r>
        <w:rPr>
          <w:rFonts w:ascii="Arial" w:cs="Arial" w:eastAsia="Arial" w:hAnsi="Arial"/>
          <w:sz w:val="20"/>
          <w:szCs w:val="20"/>
        </w:rPr>
        <w:t xml:space="preserve">Detailed minutes of all DSMB meetings (open and closed sessions) will be drafted by a designated DSMB Secretary (provided by the Sponsor, excluded from closed sessions — minutes from closed sessions drafted by the Chairperson or designated DSMB member). Minutes will include: attendance, quorum confirmation, topics discussed, vote tallies, formal recommendations, and action items. Meeting minutes are finalized and signed by the Chairperson within 10 business days of each meeting and retained in the Trial Master File.</w:t>
      </w:r>
    </w:p>
    <w:p>
      <w:r>
        <w:br w:type="page"/>
      </w:r>
    </w:p>
    <w:p>
      <w:pPr>
        <w:pStyle w:val="Heading1"/>
        <w:pBdr>
          <w:bottom w:val="single" w:color="2E75B6" w:sz="6" w:space="4"/>
        </w:pBdr>
        <w:spacing w:before="300" w:after="140"/>
      </w:pPr>
      <w:r>
        <w:rPr>
          <w:rFonts w:ascii="Arial" w:cs="Arial" w:eastAsia="Arial" w:hAnsi="Arial"/>
          <w:b/>
          <w:bCs/>
          <w:color w:val="1F3864"/>
          <w:sz w:val="30"/>
          <w:szCs w:val="30"/>
        </w:rPr>
        <w:t xml:space="preserve">6. STOPPING RULES AND ESCALATION DECISIONS</w:t>
      </w:r>
    </w:p>
    <w:p>
      <w:pPr>
        <w:pStyle w:val="Heading2"/>
        <w:spacing w:before="200" w:after="100"/>
      </w:pPr>
      <w:r>
        <w:rPr>
          <w:rFonts w:ascii="Arial" w:cs="Arial" w:eastAsia="Arial" w:hAnsi="Arial"/>
          <w:b/>
          <w:bCs/>
          <w:color w:val="2E75B6"/>
          <w:sz w:val="24"/>
          <w:szCs w:val="24"/>
        </w:rPr>
        <w:t xml:space="preserve">6.1 Mandatory Escalation Conditions</w:t>
      </w:r>
    </w:p>
    <w:p>
      <w:pPr>
        <w:spacing w:before="80" w:after="80"/>
      </w:pPr>
      <w:r>
        <w:rPr>
          <w:rFonts w:ascii="Arial" w:cs="Arial" w:eastAsia="Arial" w:hAnsi="Arial"/>
          <w:sz w:val="20"/>
          <w:szCs w:val="20"/>
        </w:rPr>
        <w:t xml:space="preserve">The DSMB MUST approve escalation before any new cohort is initiated. Escalation may be approved if ALL of the following conditions are met:</w:t>
      </w:r>
    </w:p>
    <w:p>
      <w:pPr>
        <w:pStyle w:val="ListParagraph"/>
        <w:numPr>
          <w:ilvl w:val="0"/>
          <w:numId w:val="2"/>
        </w:numPr>
        <w:spacing w:before="60" w:after="60"/>
      </w:pPr>
      <w:r>
        <w:rPr>
          <w:rFonts w:ascii="Arial" w:cs="Arial" w:eastAsia="Arial" w:hAnsi="Arial"/>
          <w:sz w:val="20"/>
          <w:szCs w:val="20"/>
        </w:rPr>
        <w:t xml:space="preserve">DLT assessment window complete for all evaluable patients in the current cohort.</w:t>
      </w:r>
    </w:p>
    <w:p>
      <w:pPr>
        <w:pStyle w:val="ListParagraph"/>
        <w:numPr>
          <w:ilvl w:val="0"/>
          <w:numId w:val="2"/>
        </w:numPr>
        <w:spacing w:before="60" w:after="60"/>
      </w:pPr>
      <w:r>
        <w:rPr>
          <w:rFonts w:ascii="Arial" w:cs="Arial" w:eastAsia="Arial" w:hAnsi="Arial"/>
          <w:sz w:val="20"/>
          <w:szCs w:val="20"/>
        </w:rPr>
        <w:t xml:space="preserve">DLT incidence below the threshold for MTD declaration (≤1/6 DLTs per standard 3+3 rules).</w:t>
      </w:r>
    </w:p>
    <w:p>
      <w:pPr>
        <w:pStyle w:val="ListParagraph"/>
        <w:numPr>
          <w:ilvl w:val="0"/>
          <w:numId w:val="2"/>
        </w:numPr>
        <w:spacing w:before="60" w:after="60"/>
      </w:pPr>
      <w:r>
        <w:rPr>
          <w:rFonts w:ascii="Arial" w:cs="Arial" w:eastAsia="Arial" w:hAnsi="Arial"/>
          <w:sz w:val="20"/>
          <w:szCs w:val="20"/>
        </w:rPr>
        <w:t xml:space="preserve">No emerging safety signals, SAEs, or serious irAEs that, in the DSMB's judgment, warrant additional observation before escalation.</w:t>
      </w:r>
    </w:p>
    <w:p>
      <w:pPr>
        <w:pStyle w:val="ListParagraph"/>
        <w:numPr>
          <w:ilvl w:val="0"/>
          <w:numId w:val="2"/>
        </w:numPr>
        <w:spacing w:before="60" w:after="60"/>
      </w:pPr>
      <w:r>
        <w:rPr>
          <w:rFonts w:ascii="Arial" w:cs="Arial" w:eastAsia="Arial" w:hAnsi="Arial"/>
          <w:sz w:val="20"/>
          <w:szCs w:val="20"/>
        </w:rPr>
        <w:t xml:space="preserve">PK data reviewed and no anomalous or unexpected PK findings (e.g., non-proportional exposure, unusually prolonged t1/2) that would warrant extended DLT observation.</w:t>
      </w:r>
    </w:p>
    <w:p>
      <w:pPr>
        <w:pStyle w:val="ListParagraph"/>
        <w:numPr>
          <w:ilvl w:val="0"/>
          <w:numId w:val="2"/>
        </w:numPr>
        <w:spacing w:before="60" w:after="60"/>
      </w:pPr>
      <w:r>
        <w:rPr>
          <w:rFonts w:ascii="Arial" w:cs="Arial" w:eastAsia="Arial" w:hAnsi="Arial"/>
          <w:sz w:val="20"/>
          <w:szCs w:val="20"/>
        </w:rPr>
        <w:t xml:space="preserve">Written DSMB recommendation issued; Sponsor acknowledgment received.</w:t>
      </w:r>
    </w:p>
    <w:p>
      <w:pPr>
        <w:pStyle w:val="Heading2"/>
        <w:spacing w:before="200" w:after="100"/>
      </w:pPr>
      <w:r>
        <w:rPr>
          <w:rFonts w:ascii="Arial" w:cs="Arial" w:eastAsia="Arial" w:hAnsi="Arial"/>
          <w:b/>
          <w:bCs/>
          <w:color w:val="2E75B6"/>
          <w:sz w:val="24"/>
          <w:szCs w:val="24"/>
        </w:rPr>
        <w:t xml:space="preserve">6.2 Conditions Requiring Mandatory DSMB-Initiated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CCCC" w:val="clear"/>
            <w:tcMar>
              <w:top w:type="dxa" w:w="120"/>
              <w:left w:type="dxa" w:w="200"/>
              <w:bottom w:type="dxa" w:w="120"/>
              <w:right w:type="dxa" w:w="200"/>
            </w:tcMar>
          </w:tcPr>
          <w:p>
            <w:pPr>
              <w:spacing w:before="40" w:after="60"/>
            </w:pPr>
            <w:r>
              <w:rPr>
                <w:rFonts w:ascii="Arial" w:cs="Arial" w:eastAsia="Arial" w:hAnsi="Arial"/>
                <w:b/>
                <w:bCs/>
                <w:color w:val="C00000"/>
                <w:sz w:val="22"/>
                <w:szCs w:val="22"/>
              </w:rPr>
              <w:t xml:space="preserve">MANDATORY HOLD — DSMB INITIATED</w:t>
            </w:r>
          </w:p>
          <w:p>
            <w:pPr>
              <w:spacing w:before="30" w:after="30"/>
            </w:pPr>
            <w:r>
              <w:rPr>
                <w:rFonts w:ascii="Arial" w:cs="Arial" w:eastAsia="Arial" w:hAnsi="Arial"/>
                <w:sz w:val="19"/>
                <w:szCs w:val="19"/>
              </w:rPr>
              <w:t xml:space="preserve">The DSMB Chair has authority to initiate an immediate clinical hold on all dosing pending emergency DSMB review if ANY of the following occur:</w:t>
            </w:r>
          </w:p>
          <w:p>
            <w:pPr>
              <w:spacing w:before="30" w:after="30"/>
            </w:pPr>
            <w:r>
              <w:rPr>
                <w:rFonts w:ascii="Arial" w:cs="Arial" w:eastAsia="Arial" w:hAnsi="Arial"/>
                <w:sz w:val="19"/>
                <w:szCs w:val="19"/>
              </w:rPr>
              <w:t xml:space="preserve"/>
            </w:r>
          </w:p>
          <w:p>
            <w:pPr>
              <w:spacing w:before="30" w:after="30"/>
            </w:pPr>
            <w:r>
              <w:rPr>
                <w:rFonts w:ascii="Arial" w:cs="Arial" w:eastAsia="Arial" w:hAnsi="Arial"/>
                <w:sz w:val="19"/>
                <w:szCs w:val="19"/>
              </w:rPr>
              <w:t xml:space="preserve">A. ≥2/3 patients in any cohort experience DLTs (MTD exceeded) — AUTOMATIC HOLD at current dose level</w:t>
            </w:r>
          </w:p>
          <w:p>
            <w:pPr>
              <w:spacing w:before="30" w:after="30"/>
            </w:pPr>
            <w:r>
              <w:rPr>
                <w:rFonts w:ascii="Arial" w:cs="Arial" w:eastAsia="Arial" w:hAnsi="Arial"/>
                <w:sz w:val="19"/>
                <w:szCs w:val="19"/>
              </w:rPr>
              <w:t xml:space="preserve">B. Any on-study death possibly related to Cervimab</w:t>
            </w:r>
          </w:p>
          <w:p>
            <w:pPr>
              <w:spacing w:before="30" w:after="30"/>
            </w:pPr>
            <w:r>
              <w:rPr>
                <w:rFonts w:ascii="Arial" w:cs="Arial" w:eastAsia="Arial" w:hAnsi="Arial"/>
                <w:sz w:val="19"/>
                <w:szCs w:val="19"/>
              </w:rPr>
              <w:t xml:space="preserve">C. ≥2 Grade 4 immune-mediated AEs (pneumonitis, colitis, hepatitis, encephalitis) occurring in the same cohort</w:t>
            </w:r>
          </w:p>
          <w:p>
            <w:pPr>
              <w:spacing w:before="30" w:after="30"/>
            </w:pPr>
            <w:r>
              <w:rPr>
                <w:rFonts w:ascii="Arial" w:cs="Arial" w:eastAsia="Arial" w:hAnsi="Arial"/>
                <w:sz w:val="19"/>
                <w:szCs w:val="19"/>
              </w:rPr>
              <w:t xml:space="preserve">D. Any Grade 5 (fatal) immune-mediated adverse event</w:t>
            </w:r>
          </w:p>
          <w:p>
            <w:pPr>
              <w:spacing w:before="30" w:after="30"/>
            </w:pPr>
            <w:r>
              <w:rPr>
                <w:rFonts w:ascii="Arial" w:cs="Arial" w:eastAsia="Arial" w:hAnsi="Arial"/>
                <w:sz w:val="19"/>
                <w:szCs w:val="19"/>
              </w:rPr>
              <w:t xml:space="preserve">E. Grade ≥4 Cytokine Release Syndrome (CRS) in any patient</w:t>
            </w:r>
          </w:p>
          <w:p>
            <w:pPr>
              <w:spacing w:before="30" w:after="30"/>
            </w:pPr>
            <w:r>
              <w:rPr>
                <w:rFonts w:ascii="Arial" w:cs="Arial" w:eastAsia="Arial" w:hAnsi="Arial"/>
                <w:sz w:val="19"/>
                <w:szCs w:val="19"/>
              </w:rPr>
              <w:t xml:space="preserve">F. SUSAR of fatal or life-threatening severity not anticipated in the Investigator's Brochure</w:t>
            </w:r>
          </w:p>
          <w:p>
            <w:pPr>
              <w:spacing w:before="30" w:after="30"/>
            </w:pPr>
            <w:r>
              <w:rPr>
                <w:rFonts w:ascii="Arial" w:cs="Arial" w:eastAsia="Arial" w:hAnsi="Arial"/>
                <w:sz w:val="19"/>
                <w:szCs w:val="19"/>
              </w:rPr>
              <w:t xml:space="preserve">G. FDA-issued Clinical Hold</w:t>
            </w:r>
          </w:p>
          <w:p>
            <w:pPr>
              <w:spacing w:before="30" w:after="30"/>
            </w:pPr>
            <w:r>
              <w:rPr>
                <w:rFonts w:ascii="Arial" w:cs="Arial" w:eastAsia="Arial" w:hAnsi="Arial"/>
                <w:sz w:val="19"/>
                <w:szCs w:val="19"/>
              </w:rPr>
              <w:t xml:space="preserve">H. Any safety pattern that, in the DSMB's collective judgment, renders continued escalation or dosing unacceptable</w:t>
            </w:r>
          </w:p>
          <w:p>
            <w:pPr>
              <w:spacing w:before="30" w:after="30"/>
            </w:pPr>
            <w:r>
              <w:rPr>
                <w:rFonts w:ascii="Arial" w:cs="Arial" w:eastAsia="Arial" w:hAnsi="Arial"/>
                <w:sz w:val="19"/>
                <w:szCs w:val="19"/>
              </w:rPr>
              <w:t xml:space="preserve"/>
            </w:r>
          </w:p>
          <w:p>
            <w:pPr>
              <w:spacing w:before="30" w:after="30"/>
            </w:pPr>
            <w:r>
              <w:rPr>
                <w:rFonts w:ascii="Arial" w:cs="Arial" w:eastAsia="Arial" w:hAnsi="Arial"/>
                <w:sz w:val="19"/>
                <w:szCs w:val="19"/>
              </w:rPr>
              <w:t xml:space="preserve">Upon DSMB-initiated hold: No new patients dosed; ongoing patients may continue at discretion of the Principal Investigator and Sponsor Medical Monitor; FDA notification per 21 CFR 312.32 within 24 hours.</w:t>
            </w:r>
          </w:p>
        </w:tc>
      </w:tr>
    </w:tbl>
    <w:p>
      <w:pPr>
        <w:pStyle w:val="Heading2"/>
        <w:spacing w:before="200" w:after="100"/>
      </w:pPr>
      <w:r>
        <w:rPr>
          <w:rFonts w:ascii="Arial" w:cs="Arial" w:eastAsia="Arial" w:hAnsi="Arial"/>
          <w:b/>
          <w:bCs/>
          <w:color w:val="2E75B6"/>
          <w:sz w:val="24"/>
          <w:szCs w:val="24"/>
        </w:rPr>
        <w:t xml:space="preserve">6.3 Criteria for Study Termination</w:t>
      </w:r>
    </w:p>
    <w:p>
      <w:pPr>
        <w:spacing w:before="80" w:after="80"/>
      </w:pPr>
      <w:r>
        <w:rPr>
          <w:rFonts w:ascii="Arial" w:cs="Arial" w:eastAsia="Arial" w:hAnsi="Arial"/>
          <w:sz w:val="20"/>
          <w:szCs w:val="20"/>
        </w:rPr>
        <w:t xml:space="preserve">The DSMB may recommend permanent study termination if:</w:t>
      </w:r>
    </w:p>
    <w:p>
      <w:pPr>
        <w:pStyle w:val="ListParagraph"/>
        <w:numPr>
          <w:ilvl w:val="0"/>
          <w:numId w:val="2"/>
        </w:numPr>
        <w:spacing w:before="60" w:after="60"/>
      </w:pPr>
      <w:r>
        <w:rPr>
          <w:rFonts w:ascii="Arial" w:cs="Arial" w:eastAsia="Arial" w:hAnsi="Arial"/>
          <w:sz w:val="20"/>
          <w:szCs w:val="20"/>
        </w:rPr>
        <w:t xml:space="preserve">The evidence of harm from Cervimab is overwhelming and a compelling benefit-risk case for continued investigation cannot be established.</w:t>
      </w:r>
    </w:p>
    <w:p>
      <w:pPr>
        <w:pStyle w:val="ListParagraph"/>
        <w:numPr>
          <w:ilvl w:val="0"/>
          <w:numId w:val="2"/>
        </w:numPr>
        <w:spacing w:before="60" w:after="60"/>
      </w:pPr>
      <w:r>
        <w:rPr>
          <w:rFonts w:ascii="Arial" w:cs="Arial" w:eastAsia="Arial" w:hAnsi="Arial"/>
          <w:sz w:val="20"/>
          <w:szCs w:val="20"/>
        </w:rPr>
        <w:t xml:space="preserve">The MTD is determined to be at or below the estimated MABEL level, rendering the therapeutic window unacceptably narrow.</w:t>
      </w:r>
    </w:p>
    <w:p>
      <w:pPr>
        <w:pStyle w:val="ListParagraph"/>
        <w:numPr>
          <w:ilvl w:val="0"/>
          <w:numId w:val="2"/>
        </w:numPr>
        <w:spacing w:before="60" w:after="60"/>
      </w:pPr>
      <w:r>
        <w:rPr>
          <w:rFonts w:ascii="Arial" w:cs="Arial" w:eastAsia="Arial" w:hAnsi="Arial"/>
          <w:sz w:val="20"/>
          <w:szCs w:val="20"/>
        </w:rPr>
        <w:t xml:space="preserve">Nonclinical safety findings arise (from concurrent studies) that fundamentally alter the benefit-risk assessment.</w:t>
      </w:r>
    </w:p>
    <w:p>
      <w:pPr>
        <w:pStyle w:val="ListParagraph"/>
        <w:numPr>
          <w:ilvl w:val="0"/>
          <w:numId w:val="2"/>
        </w:numPr>
        <w:spacing w:before="60" w:after="60"/>
      </w:pPr>
      <w:r>
        <w:rPr>
          <w:rFonts w:ascii="Arial" w:cs="Arial" w:eastAsia="Arial" w:hAnsi="Arial"/>
          <w:sz w:val="20"/>
          <w:szCs w:val="20"/>
        </w:rPr>
        <w:t xml:space="preserve">A pattern of serious irAEs suggests a class effect that negates the anticipated therapeutic benefit.</w:t>
      </w:r>
    </w:p>
    <w:p>
      <w:pPr>
        <w:pStyle w:val="ListParagraph"/>
        <w:numPr>
          <w:ilvl w:val="0"/>
          <w:numId w:val="2"/>
        </w:numPr>
        <w:spacing w:before="60" w:after="60"/>
      </w:pPr>
      <w:r>
        <w:rPr>
          <w:rFonts w:ascii="Arial" w:cs="Arial" w:eastAsia="Arial" w:hAnsi="Arial"/>
          <w:sz w:val="20"/>
          <w:szCs w:val="20"/>
        </w:rPr>
        <w:t xml:space="preserve">The study cannot be conducted in accordance with GCP due to systematic site or data quality issues.</w:t>
      </w:r>
    </w:p>
    <w:p>
      <w:r>
        <w:br w:type="page"/>
      </w:r>
    </w:p>
    <w:p>
      <w:pPr>
        <w:pStyle w:val="Heading1"/>
        <w:pBdr>
          <w:bottom w:val="single" w:color="2E75B6" w:sz="6" w:space="4"/>
        </w:pBdr>
        <w:spacing w:before="300" w:after="140"/>
      </w:pPr>
      <w:r>
        <w:rPr>
          <w:rFonts w:ascii="Arial" w:cs="Arial" w:eastAsia="Arial" w:hAnsi="Arial"/>
          <w:b/>
          <w:bCs/>
          <w:color w:val="1F3864"/>
          <w:sz w:val="30"/>
          <w:szCs w:val="30"/>
        </w:rPr>
        <w:t xml:space="preserve">7. BENEFIT-RISK MONITORING FRAMEWORK</w:t>
      </w:r>
    </w:p>
    <w:p>
      <w:pPr>
        <w:pStyle w:val="Heading2"/>
        <w:spacing w:before="200" w:after="100"/>
      </w:pPr>
      <w:r>
        <w:rPr>
          <w:rFonts w:ascii="Arial" w:cs="Arial" w:eastAsia="Arial" w:hAnsi="Arial"/>
          <w:b/>
          <w:bCs/>
          <w:color w:val="2E75B6"/>
          <w:sz w:val="24"/>
          <w:szCs w:val="24"/>
        </w:rPr>
        <w:t xml:space="preserve">7.1 Safety Signal Identification</w:t>
      </w:r>
    </w:p>
    <w:p>
      <w:pPr>
        <w:spacing w:before="80" w:after="80"/>
      </w:pPr>
      <w:r>
        <w:rPr>
          <w:rFonts w:ascii="Arial" w:cs="Arial" w:eastAsia="Arial" w:hAnsi="Arial"/>
          <w:sz w:val="20"/>
          <w:szCs w:val="20"/>
        </w:rPr>
        <w:t xml:space="preserve">The DSMB will use the following proactive framework to identify and evaluate emerging safety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Signal Category</w:t>
            </w:r>
          </w:p>
        </w:tc>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Trigger</w:t>
            </w:r>
          </w:p>
        </w:tc>
        <w:tc>
          <w:tcPr>
            <w:tcW w:type="dxa" w:w="3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DSMB Action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Unexpected AE Pattern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Any AE cluster (same system organ class) ≥Grade 2 in ≥2 patients within a cohort not anticipated in IB</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Closed session review; request narrative summaries; consider hold pending assessment</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irAE Cascade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≥2 patients in same or adjacent cohorts with Grade ≥2 irAEs affecting the same organ system within 30 days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Emergency review; adjudicate causality; consider dose pause; notify Sponsor</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Laboratory Trend</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≥50% of patients in a cohort with ≥Grade 2 AST/ALT or creatinine elevation from baseline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Require additional liver function tests; halt escalation pending resolution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PK Anomaly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Observed Cmax or AUC &gt;3x model predictions in ≥2 patients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Consult clinical pharmacologist; consider extended observation; revise escalation increment</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Cytokine Surge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IL-6 or IFN-gamma elevation &gt;10x ULN post-infusion in ≥2 patients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Emergency alert to Sponsor; review for CRS; consider dose hold</w:t>
            </w:r>
          </w:p>
        </w:tc>
      </w:tr>
    </w:tbl>
    <w:p>
      <w:pPr>
        <w:pStyle w:val="Heading2"/>
        <w:spacing w:before="200" w:after="100"/>
      </w:pPr>
      <w:r>
        <w:rPr>
          <w:rFonts w:ascii="Arial" w:cs="Arial" w:eastAsia="Arial" w:hAnsi="Arial"/>
          <w:b/>
          <w:bCs/>
          <w:color w:val="2E75B6"/>
          <w:sz w:val="24"/>
          <w:szCs w:val="24"/>
        </w:rPr>
        <w:t xml:space="preserve">7.2 Integrated Benefit-Risk Assessment</w:t>
      </w:r>
    </w:p>
    <w:p>
      <w:pPr>
        <w:spacing w:before="80" w:after="80"/>
      </w:pPr>
      <w:r>
        <w:rPr>
          <w:rFonts w:ascii="Arial" w:cs="Arial" w:eastAsia="Arial" w:hAnsi="Arial"/>
          <w:sz w:val="20"/>
          <w:szCs w:val="20"/>
        </w:rPr>
        <w:t xml:space="preserve">At the RP2D selection meeting, the DSMB will conduct a formal integrated benefit-risk assessment incorporating: cumulative safety data; PK/PD modeling; PD-1 receptor occupancy targets; any preliminary efficacy signals; and external clinical context (benchmark PD-1 inhibitor safety and efficacy data from the literature). The benefit-risk assessment will be documented in the formal DSMB RP2D Recommendation Report, which is appended to the study record.</w:t>
      </w:r>
    </w:p>
    <w:p>
      <w:r>
        <w:br w:type="page"/>
      </w:r>
    </w:p>
    <w:p>
      <w:pPr>
        <w:pStyle w:val="Heading1"/>
        <w:pBdr>
          <w:bottom w:val="single" w:color="2E75B6" w:sz="6" w:space="4"/>
        </w:pBdr>
        <w:spacing w:before="300" w:after="140"/>
      </w:pPr>
      <w:r>
        <w:rPr>
          <w:rFonts w:ascii="Arial" w:cs="Arial" w:eastAsia="Arial" w:hAnsi="Arial"/>
          <w:b/>
          <w:bCs/>
          <w:color w:val="1F3864"/>
          <w:sz w:val="30"/>
          <w:szCs w:val="30"/>
        </w:rPr>
        <w:t xml:space="preserve">8. CONFIDENTIALITY AND DATA HANDLING</w:t>
      </w:r>
    </w:p>
    <w:p>
      <w:pPr>
        <w:pStyle w:val="Heading2"/>
        <w:spacing w:before="200" w:after="100"/>
      </w:pPr>
      <w:r>
        <w:rPr>
          <w:rFonts w:ascii="Arial" w:cs="Arial" w:eastAsia="Arial" w:hAnsi="Arial"/>
          <w:b/>
          <w:bCs/>
          <w:color w:val="2E75B6"/>
          <w:sz w:val="24"/>
          <w:szCs w:val="24"/>
        </w:rPr>
        <w:t xml:space="preserve">8.1 Confidentiality Obligations</w:t>
      </w:r>
    </w:p>
    <w:p>
      <w:pPr>
        <w:spacing w:before="80" w:after="80"/>
      </w:pPr>
      <w:r>
        <w:rPr>
          <w:rFonts w:ascii="Arial" w:cs="Arial" w:eastAsia="Arial" w:hAnsi="Arial"/>
          <w:sz w:val="20"/>
          <w:szCs w:val="20"/>
        </w:rPr>
        <w:t xml:space="preserve">All information reviewed by the DSMB — including unblinded patient data, safety listings, statistical reports, and deliberation minutes — is strictly confidential. DSMB members agree not to disclose any study information to parties outside the DSMB, including colleagues, co-investigators, or external parties, except as required by law or regulatory obligation.</w:t>
      </w:r>
    </w:p>
    <w:p>
      <w:pPr>
        <w:spacing w:before="60" w:after="60"/>
      </w:pPr>
      <w:r>
        <w:t xml:space="preserve"/>
      </w:r>
    </w:p>
    <w:p>
      <w:pPr>
        <w:spacing w:before="80" w:after="80"/>
      </w:pPr>
      <w:r>
        <w:rPr>
          <w:rFonts w:ascii="Arial" w:cs="Arial" w:eastAsia="Arial" w:hAnsi="Arial"/>
          <w:sz w:val="20"/>
          <w:szCs w:val="20"/>
        </w:rPr>
        <w:t xml:space="preserve">All DSMB members and support staff must execute a Confidentiality and Data Access Agreement with the Sponsor prior to receiving any study data. These agreements will be maintained in the Trial Master File.</w:t>
      </w:r>
    </w:p>
    <w:p>
      <w:pPr>
        <w:pStyle w:val="Heading2"/>
        <w:spacing w:before="200" w:after="100"/>
      </w:pPr>
      <w:r>
        <w:rPr>
          <w:rFonts w:ascii="Arial" w:cs="Arial" w:eastAsia="Arial" w:hAnsi="Arial"/>
          <w:b/>
          <w:bCs/>
          <w:color w:val="2E75B6"/>
          <w:sz w:val="24"/>
          <w:szCs w:val="24"/>
        </w:rPr>
        <w:t xml:space="preserve">8.2 Data Security</w:t>
      </w:r>
    </w:p>
    <w:p>
      <w:pPr>
        <w:spacing w:before="80" w:after="80"/>
      </w:pPr>
      <w:r>
        <w:rPr>
          <w:rFonts w:ascii="Arial" w:cs="Arial" w:eastAsia="Arial" w:hAnsi="Arial"/>
          <w:sz w:val="20"/>
          <w:szCs w:val="20"/>
        </w:rPr>
        <w:t xml:space="preserve">Electronic data packages will be transmitted via a secure, encrypted file-sharing platform designated by the Sponsor. DSMB members must use Sponsor-provided access credentials; data packages must not be forwarded or stored on non-encrypted devices. Physical copies of meeting materials must be returned to the Sponsor or destroyed following each meeting.</w:t>
      </w:r>
    </w:p>
    <w:p>
      <w:pPr>
        <w:pStyle w:val="Heading2"/>
        <w:spacing w:before="200" w:after="100"/>
      </w:pPr>
      <w:r>
        <w:rPr>
          <w:rFonts w:ascii="Arial" w:cs="Arial" w:eastAsia="Arial" w:hAnsi="Arial"/>
          <w:b/>
          <w:bCs/>
          <w:color w:val="2E75B6"/>
          <w:sz w:val="24"/>
          <w:szCs w:val="24"/>
        </w:rPr>
        <w:t xml:space="preserve">8.3 Communication of Decisions</w:t>
      </w:r>
    </w:p>
    <w:p>
      <w:pPr>
        <w:spacing w:before="80" w:after="80"/>
      </w:pPr>
      <w:r>
        <w:rPr>
          <w:rFonts w:ascii="Arial" w:cs="Arial" w:eastAsia="Arial" w:hAnsi="Arial"/>
          <w:sz w:val="20"/>
          <w:szCs w:val="20"/>
        </w:rPr>
        <w:t xml:space="preserve">DSMB recommendations are communicated exclusively to the Sponsor Medical Monitor (and designated Sponsor team members as specified by the Medical Monitor). DSMB recommendations shall NOT be communicated to: site investigators, clinical research coordinators, IRBs (unless a safety-related protocol amendment requires IRB notification), or any commercial or external parties. Publication or public disclosure of DSMB deliberations is prohibited during the study. Summary information (without patient-level data) may be included in regulatory filings.</w:t>
      </w:r>
    </w:p>
    <w:p>
      <w:r>
        <w:br w:type="page"/>
      </w:r>
    </w:p>
    <w:p>
      <w:pPr>
        <w:pStyle w:val="Heading1"/>
        <w:pBdr>
          <w:bottom w:val="single" w:color="2E75B6" w:sz="6" w:space="4"/>
        </w:pBdr>
        <w:spacing w:before="300" w:after="140"/>
      </w:pPr>
      <w:r>
        <w:rPr>
          <w:rFonts w:ascii="Arial" w:cs="Arial" w:eastAsia="Arial" w:hAnsi="Arial"/>
          <w:b/>
          <w:bCs/>
          <w:color w:val="1F3864"/>
          <w:sz w:val="30"/>
          <w:szCs w:val="30"/>
        </w:rPr>
        <w:t xml:space="preserve">9. DSMB RECORD RETENTION AND REPORTING</w:t>
      </w:r>
    </w:p>
    <w:p>
      <w:pPr>
        <w:pStyle w:val="Heading2"/>
        <w:spacing w:before="200" w:after="100"/>
      </w:pPr>
      <w:r>
        <w:rPr>
          <w:rFonts w:ascii="Arial" w:cs="Arial" w:eastAsia="Arial" w:hAnsi="Arial"/>
          <w:b/>
          <w:bCs/>
          <w:color w:val="2E75B6"/>
          <w:sz w:val="24"/>
          <w:szCs w:val="24"/>
        </w:rPr>
        <w:t xml:space="preserve">9.1 Documentation Retained in TMF</w:t>
      </w:r>
    </w:p>
    <w:p>
      <w:pPr>
        <w:pStyle w:val="ListParagraph"/>
        <w:numPr>
          <w:ilvl w:val="0"/>
          <w:numId w:val="2"/>
        </w:numPr>
        <w:spacing w:before="60" w:after="60"/>
      </w:pPr>
      <w:r>
        <w:rPr>
          <w:rFonts w:ascii="Arial" w:cs="Arial" w:eastAsia="Arial" w:hAnsi="Arial"/>
          <w:sz w:val="20"/>
          <w:szCs w:val="20"/>
        </w:rPr>
        <w:t xml:space="preserve">DSMB Charter (all versions with amendment history)</w:t>
      </w:r>
    </w:p>
    <w:p>
      <w:pPr>
        <w:pStyle w:val="ListParagraph"/>
        <w:numPr>
          <w:ilvl w:val="0"/>
          <w:numId w:val="2"/>
        </w:numPr>
        <w:spacing w:before="60" w:after="60"/>
      </w:pPr>
      <w:r>
        <w:rPr>
          <w:rFonts w:ascii="Arial" w:cs="Arial" w:eastAsia="Arial" w:hAnsi="Arial"/>
          <w:sz w:val="20"/>
          <w:szCs w:val="20"/>
        </w:rPr>
        <w:t xml:space="preserve">Member qualifications, CVs, and COI disclosure forms</w:t>
      </w:r>
    </w:p>
    <w:p>
      <w:pPr>
        <w:pStyle w:val="ListParagraph"/>
        <w:numPr>
          <w:ilvl w:val="0"/>
          <w:numId w:val="2"/>
        </w:numPr>
        <w:spacing w:before="60" w:after="60"/>
      </w:pPr>
      <w:r>
        <w:rPr>
          <w:rFonts w:ascii="Arial" w:cs="Arial" w:eastAsia="Arial" w:hAnsi="Arial"/>
          <w:sz w:val="20"/>
          <w:szCs w:val="20"/>
        </w:rPr>
        <w:t xml:space="preserve">Confidentiality and Data Access Agreements (all members)</w:t>
      </w:r>
    </w:p>
    <w:p>
      <w:pPr>
        <w:pStyle w:val="ListParagraph"/>
        <w:numPr>
          <w:ilvl w:val="0"/>
          <w:numId w:val="2"/>
        </w:numPr>
        <w:spacing w:before="60" w:after="60"/>
      </w:pPr>
      <w:r>
        <w:rPr>
          <w:rFonts w:ascii="Arial" w:cs="Arial" w:eastAsia="Arial" w:hAnsi="Arial"/>
          <w:sz w:val="20"/>
          <w:szCs w:val="20"/>
        </w:rPr>
        <w:t xml:space="preserve">Data Safety Monitoring Reports (all routine and emergency)</w:t>
      </w:r>
    </w:p>
    <w:p>
      <w:pPr>
        <w:pStyle w:val="ListParagraph"/>
        <w:numPr>
          <w:ilvl w:val="0"/>
          <w:numId w:val="2"/>
        </w:numPr>
        <w:spacing w:before="60" w:after="60"/>
      </w:pPr>
      <w:r>
        <w:rPr>
          <w:rFonts w:ascii="Arial" w:cs="Arial" w:eastAsia="Arial" w:hAnsi="Arial"/>
          <w:sz w:val="20"/>
          <w:szCs w:val="20"/>
        </w:rPr>
        <w:t xml:space="preserve">Meeting agendas, minutes (open and closed), and attendee logs</w:t>
      </w:r>
    </w:p>
    <w:p>
      <w:pPr>
        <w:pStyle w:val="ListParagraph"/>
        <w:numPr>
          <w:ilvl w:val="0"/>
          <w:numId w:val="2"/>
        </w:numPr>
        <w:spacing w:before="60" w:after="60"/>
      </w:pPr>
      <w:r>
        <w:rPr>
          <w:rFonts w:ascii="Arial" w:cs="Arial" w:eastAsia="Arial" w:hAnsi="Arial"/>
          <w:sz w:val="20"/>
          <w:szCs w:val="20"/>
        </w:rPr>
        <w:t xml:space="preserve">All formal DSMB escalation decisions and written recommendations</w:t>
      </w:r>
    </w:p>
    <w:p>
      <w:pPr>
        <w:pStyle w:val="ListParagraph"/>
        <w:numPr>
          <w:ilvl w:val="0"/>
          <w:numId w:val="2"/>
        </w:numPr>
        <w:spacing w:before="60" w:after="60"/>
      </w:pPr>
      <w:r>
        <w:rPr>
          <w:rFonts w:ascii="Arial" w:cs="Arial" w:eastAsia="Arial" w:hAnsi="Arial"/>
          <w:sz w:val="20"/>
          <w:szCs w:val="20"/>
        </w:rPr>
        <w:t xml:space="preserve">SUSAR narratives and DSMB responses</w:t>
      </w:r>
    </w:p>
    <w:p>
      <w:pPr>
        <w:pStyle w:val="ListParagraph"/>
        <w:numPr>
          <w:ilvl w:val="0"/>
          <w:numId w:val="2"/>
        </w:numPr>
        <w:spacing w:before="60" w:after="60"/>
      </w:pPr>
      <w:r>
        <w:rPr>
          <w:rFonts w:ascii="Arial" w:cs="Arial" w:eastAsia="Arial" w:hAnsi="Arial"/>
          <w:sz w:val="20"/>
          <w:szCs w:val="20"/>
        </w:rPr>
        <w:t xml:space="preserve">DSMB RP2D Recommendation Report</w:t>
      </w:r>
    </w:p>
    <w:p>
      <w:pPr>
        <w:pStyle w:val="ListParagraph"/>
        <w:numPr>
          <w:ilvl w:val="0"/>
          <w:numId w:val="2"/>
        </w:numPr>
        <w:spacing w:before="60" w:after="60"/>
      </w:pPr>
      <w:r>
        <w:rPr>
          <w:rFonts w:ascii="Arial" w:cs="Arial" w:eastAsia="Arial" w:hAnsi="Arial"/>
          <w:sz w:val="20"/>
          <w:szCs w:val="20"/>
        </w:rPr>
        <w:t xml:space="preserve">Correspondence between DSMB and Sponsor</w:t>
      </w:r>
    </w:p>
    <w:p>
      <w:pPr>
        <w:pStyle w:val="Heading2"/>
        <w:spacing w:before="200" w:after="100"/>
      </w:pPr>
      <w:r>
        <w:rPr>
          <w:rFonts w:ascii="Arial" w:cs="Arial" w:eastAsia="Arial" w:hAnsi="Arial"/>
          <w:b/>
          <w:bCs/>
          <w:color w:val="2E75B6"/>
          <w:sz w:val="24"/>
          <w:szCs w:val="24"/>
        </w:rPr>
        <w:t xml:space="preserve">9.2 DSMB Annual Report to FDA</w:t>
      </w:r>
    </w:p>
    <w:p>
      <w:pPr>
        <w:spacing w:before="80" w:after="80"/>
      </w:pPr>
      <w:r>
        <w:rPr>
          <w:rFonts w:ascii="Arial" w:cs="Arial" w:eastAsia="Arial" w:hAnsi="Arial"/>
          <w:sz w:val="20"/>
          <w:szCs w:val="20"/>
        </w:rPr>
        <w:t xml:space="preserve">A summary of DSMB activities and safety findings will be incorporated into the Annual IND Safety Report submitted to FDA per 21 CFR 312.33. The summary will include: number of DSMB meetings convened; escalation decisions made; significant safety findings reviewed; and any recommendations for protocol modifications.</w:t>
      </w:r>
    </w:p>
    <w:p>
      <w:pPr>
        <w:pStyle w:val="Heading2"/>
        <w:spacing w:before="200" w:after="100"/>
      </w:pPr>
      <w:r>
        <w:rPr>
          <w:rFonts w:ascii="Arial" w:cs="Arial" w:eastAsia="Arial" w:hAnsi="Arial"/>
          <w:b/>
          <w:bCs/>
          <w:color w:val="2E75B6"/>
          <w:sz w:val="24"/>
          <w:szCs w:val="24"/>
        </w:rPr>
        <w:t xml:space="preserve">9.3 Charter Amendments</w:t>
      </w:r>
    </w:p>
    <w:p>
      <w:pPr>
        <w:spacing w:before="80" w:after="80"/>
      </w:pPr>
      <w:r>
        <w:rPr>
          <w:rFonts w:ascii="Arial" w:cs="Arial" w:eastAsia="Arial" w:hAnsi="Arial"/>
          <w:sz w:val="20"/>
          <w:szCs w:val="20"/>
        </w:rPr>
        <w:t xml:space="preserve">This Charter may be amended by mutual agreement of the Sponsor Medical Monitor and DSMB Chairperson. Any amendment must be documented in writing, executed by both parties, and filed as an amendment to the Trial Master File. Amendments that materially alter DSMB authority, composition, or escalation criteria must be submitted to IRB as a protocol amendment if they affect participant safety or rights.</w:t>
      </w:r>
    </w:p>
    <w:p>
      <w:r>
        <w:br w:type="page"/>
      </w:r>
    </w:p>
    <w:p>
      <w:pPr>
        <w:pStyle w:val="Heading1"/>
        <w:pBdr>
          <w:bottom w:val="single" w:color="2E75B6" w:sz="6" w:space="4"/>
        </w:pBdr>
        <w:spacing w:before="300" w:after="140"/>
      </w:pPr>
      <w:r>
        <w:rPr>
          <w:rFonts w:ascii="Arial" w:cs="Arial" w:eastAsia="Arial" w:hAnsi="Arial"/>
          <w:b/>
          <w:bCs/>
          <w:color w:val="1F3864"/>
          <w:sz w:val="30"/>
          <w:szCs w:val="30"/>
        </w:rPr>
        <w:t xml:space="preserve">10. COMPENSATION AND ADMINISTRATIVE PROVISIONS</w:t>
      </w:r>
    </w:p>
    <w:p>
      <w:pPr>
        <w:pStyle w:val="Heading2"/>
        <w:spacing w:before="200" w:after="100"/>
      </w:pPr>
      <w:r>
        <w:rPr>
          <w:rFonts w:ascii="Arial" w:cs="Arial" w:eastAsia="Arial" w:hAnsi="Arial"/>
          <w:b/>
          <w:bCs/>
          <w:color w:val="2E75B6"/>
          <w:sz w:val="24"/>
          <w:szCs w:val="24"/>
        </w:rPr>
        <w:t xml:space="preserve">10.1 Compensation</w:t>
      </w:r>
    </w:p>
    <w:p>
      <w:pPr>
        <w:spacing w:before="80" w:after="80"/>
      </w:pPr>
      <w:r>
        <w:rPr>
          <w:rFonts w:ascii="Arial" w:cs="Arial" w:eastAsia="Arial" w:hAnsi="Arial"/>
          <w:sz w:val="20"/>
          <w:szCs w:val="20"/>
        </w:rPr>
        <w:t xml:space="preserve">DSMB members will receive compensation per an independent consulting agreement with the Sponsor at a rate commensurate with their level of expertise and time commitment, as agreed prior to the first meeting. Compensation is not contingent on study outcomes or escalation decisions and will not exceed FDA-recommended advisory committee payment limits. Reimbursement for travel, accommodation, and related expenses for in-person meetings will be provided per Sponsor travel policy.</w:t>
      </w:r>
    </w:p>
    <w:p>
      <w:pPr>
        <w:pStyle w:val="Heading2"/>
        <w:spacing w:before="200" w:after="100"/>
      </w:pPr>
      <w:r>
        <w:rPr>
          <w:rFonts w:ascii="Arial" w:cs="Arial" w:eastAsia="Arial" w:hAnsi="Arial"/>
          <w:b/>
          <w:bCs/>
          <w:color w:val="2E75B6"/>
          <w:sz w:val="24"/>
          <w:szCs w:val="24"/>
        </w:rPr>
        <w:t xml:space="preserve">10.2 Term</w:t>
      </w:r>
    </w:p>
    <w:p>
      <w:pPr>
        <w:spacing w:before="80" w:after="80"/>
      </w:pPr>
      <w:r>
        <w:rPr>
          <w:rFonts w:ascii="Arial" w:cs="Arial" w:eastAsia="Arial" w:hAnsi="Arial"/>
          <w:sz w:val="20"/>
          <w:szCs w:val="20"/>
        </w:rPr>
        <w:t xml:space="preserve">DSMB membership commences upon execution of the Confidentiality Agreement and terminates upon: (a) issuance of the final DSMB Recommendation Report; (b) study termination; (c) member resignation with 30 days written notice; or (d) removal for cause by Sponsor in consultation with the DSMB Chairperson. Replacement of departing members requires DSMB and Sponsor agreement and will not delay scheduled reviews beyond 14 days.</w:t>
      </w:r>
    </w:p>
    <w:p>
      <w:pPr>
        <w:pStyle w:val="Heading2"/>
        <w:spacing w:before="200" w:after="100"/>
      </w:pPr>
      <w:r>
        <w:rPr>
          <w:rFonts w:ascii="Arial" w:cs="Arial" w:eastAsia="Arial" w:hAnsi="Arial"/>
          <w:b/>
          <w:bCs/>
          <w:color w:val="2E75B6"/>
          <w:sz w:val="24"/>
          <w:szCs w:val="24"/>
        </w:rPr>
        <w:t xml:space="preserve">10.3 Publication</w:t>
      </w:r>
    </w:p>
    <w:p>
      <w:pPr>
        <w:spacing w:before="80" w:after="80"/>
      </w:pPr>
      <w:r>
        <w:rPr>
          <w:rFonts w:ascii="Arial" w:cs="Arial" w:eastAsia="Arial" w:hAnsi="Arial"/>
          <w:sz w:val="20"/>
          <w:szCs w:val="20"/>
        </w:rPr>
        <w:t xml:space="preserve">DSMB members may not independently publish DSMB deliberations, unblinded data, or meeting minutes. DSMB members may be acknowledged in study publications and may co-author safety or methodology papers derived from DSMB activities, subject to authorship criteria (ICMJE guidelines) and Sponsor agreement.</w:t>
      </w:r>
    </w:p>
    <w:p>
      <w:r>
        <w:br w:type="page"/>
      </w:r>
    </w:p>
    <w:p>
      <w:pPr>
        <w:pStyle w:val="Heading1"/>
        <w:pBdr>
          <w:bottom w:val="single" w:color="2E75B6" w:sz="6" w:space="4"/>
        </w:pBdr>
        <w:spacing w:before="300" w:after="140"/>
      </w:pPr>
      <w:r>
        <w:rPr>
          <w:rFonts w:ascii="Arial" w:cs="Arial" w:eastAsia="Arial" w:hAnsi="Arial"/>
          <w:b/>
          <w:bCs/>
          <w:color w:val="1F3864"/>
          <w:sz w:val="30"/>
          <w:szCs w:val="30"/>
        </w:rPr>
        <w:t xml:space="preserve">11. SIGNATURES</w:t>
      </w:r>
    </w:p>
    <w:p>
      <w:pPr>
        <w:spacing w:before="60" w:after="60"/>
      </w:pPr>
      <w:r>
        <w:t xml:space="preserve"/>
      </w:r>
    </w:p>
    <w:p>
      <w:pPr>
        <w:spacing w:before="80" w:after="80"/>
      </w:pPr>
      <w:r>
        <w:rPr>
          <w:rFonts w:ascii="Arial" w:cs="Arial" w:eastAsia="Arial" w:hAnsi="Arial"/>
          <w:sz w:val="20"/>
          <w:szCs w:val="20"/>
        </w:rPr>
        <w:t xml:space="preserve">By signing below, DSMB members and Sponsor representatives acknowledge receipt of, and agreement to abide by, this Charter, the associated Confidentiality Agreement, and all applicable regulatory requirements.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80"/>
              <w:bottom w:type="dxa" w:w="80"/>
              <w:right w:type="dxa" w:w="200"/>
            </w:tcMar>
          </w:tcPr>
          <w:p>
            <w:pPr>
              <w:pBdr>
                <w:bottom w:val="single" w:color="000000" w:sz="4"/>
              </w:pBdr>
            </w:pPr>
            <w:r>
              <w:rPr>
                <w:sz w:val="40"/>
                <w:szCs w:val="40"/>
              </w:rPr>
              <w:t xml:space="preserve"> </w:t>
            </w:r>
          </w:p>
          <w:p>
            <w:r>
              <w:rPr>
                <w:rFonts w:ascii="Arial" w:cs="Arial" w:eastAsia="Arial" w:hAnsi="Arial"/>
                <w:sz w:val="18"/>
                <w:szCs w:val="18"/>
              </w:rPr>
              <w:t xml:space="preserve">DSMB Chairperson — Name, MD/PhD, Affiliation</w:t>
            </w:r>
          </w:p>
          <w:p>
            <w:pPr>
              <w:spacing w:before="60" w:after="60"/>
            </w:pPr>
            <w:r>
              <w:t xml:space="preserve"/>
            </w:r>
          </w:p>
          <w:p>
            <w:pPr>
              <w:pBdr>
                <w:bottom w:val="single" w:color="000000" w:sz="4"/>
              </w:pBdr>
            </w:pPr>
            <w:r>
              <w:rPr>
                <w:sz w:val="36"/>
                <w:szCs w:val="36"/>
              </w:rPr>
              <w:t xml:space="preserve"> </w:t>
            </w:r>
          </w:p>
          <w:p>
            <w:r>
              <w:rPr>
                <w:rFonts w:ascii="Arial" w:cs="Arial" w:eastAsia="Arial" w:hAnsi="Arial"/>
                <w:sz w:val="18"/>
                <w:szCs w:val="18"/>
              </w:rPr>
              <w:t xml:space="preserve">Date (DD-MMM-YYYY)</w:t>
            </w:r>
          </w:p>
        </w:tc>
        <w:tc>
          <w:tcPr>
            <w:tcW w:type="dxa" w:w="4680"/>
            <w:tcBorders>
              <w:top w:val="none"/>
              <w:left w:val="none"/>
              <w:bottom w:val="none"/>
              <w:right w:val="none"/>
            </w:tcBorders>
            <w:tcMar>
              <w:top w:type="dxa" w:w="80"/>
              <w:left w:type="dxa" w:w="200"/>
              <w:bottom w:type="dxa" w:w="80"/>
              <w:right w:type="dxa" w:w="80"/>
            </w:tcMar>
          </w:tcPr>
          <w:p>
            <w:pPr>
              <w:pBdr>
                <w:bottom w:val="single" w:color="000000" w:sz="4"/>
              </w:pBdr>
            </w:pPr>
            <w:r>
              <w:rPr>
                <w:sz w:val="40"/>
                <w:szCs w:val="40"/>
              </w:rPr>
              <w:t xml:space="preserve"> </w:t>
            </w:r>
          </w:p>
          <w:p>
            <w:r>
              <w:rPr>
                <w:rFonts w:ascii="Arial" w:cs="Arial" w:eastAsia="Arial" w:hAnsi="Arial"/>
                <w:sz w:val="18"/>
                <w:szCs w:val="18"/>
              </w:rPr>
              <w:t xml:space="preserve">DSMB Member (Oncologist / Immunologist #1) — Name, MD, Affiliation</w:t>
            </w:r>
          </w:p>
          <w:p>
            <w:pPr>
              <w:spacing w:before="60" w:after="60"/>
            </w:pPr>
            <w:r>
              <w:t xml:space="preserve"/>
            </w:r>
          </w:p>
          <w:p>
            <w:pPr>
              <w:pBdr>
                <w:bottom w:val="single" w:color="000000" w:sz="4"/>
              </w:pBdr>
            </w:pPr>
            <w:r>
              <w:rPr>
                <w:sz w:val="36"/>
                <w:szCs w:val="36"/>
              </w:rPr>
              <w:t xml:space="preserve"> </w:t>
            </w:r>
          </w:p>
          <w:p>
            <w:r>
              <w:rPr>
                <w:rFonts w:ascii="Arial" w:cs="Arial" w:eastAsia="Arial" w:hAnsi="Arial"/>
                <w:sz w:val="18"/>
                <w:szCs w:val="18"/>
              </w:rPr>
              <w:t xml:space="preserve">Date (DD-MMM-YYYY)</w:t>
            </w:r>
          </w:p>
        </w:tc>
      </w:tr>
      <w:tr>
        <w:tc>
          <w:tcPr>
            <w:tcW w:type="dxa" w:w="9360"/>
            <w:tcBorders>
              <w:top w:val="none"/>
              <w:left w:val="none"/>
              <w:bottom w:val="none"/>
              <w:right w:val="none"/>
            </w:tcBorders>
          </w:tcPr>
          <w:p>
            <w:pPr>
              <w:spacing w:before="120" w:after="120"/>
            </w:pPr>
            <w:r>
              <w:t xml:space="preserve"/>
            </w:r>
          </w:p>
        </w:tc>
        <w:tc>
          <w:tcPr>
            <w:tcW w:type="dxa" w:w="4680"/>
            <w:tcBorders>
              <w:top w:val="none"/>
              <w:left w:val="none"/>
              <w:bottom w:val="none"/>
              <w:right w:val="none"/>
            </w:tcBorders>
          </w:tcPr>
          <w:p>
            <w:pPr>
              <w:spacing w:before="60" w:after="60"/>
            </w:pPr>
            <w:r>
              <w:t xml:space="preserve"/>
            </w:r>
          </w:p>
        </w:tc>
      </w:tr>
      <w:tr>
        <w:tc>
          <w:tcPr>
            <w:tcW w:type="dxa" w:w="4680"/>
            <w:tcBorders>
              <w:top w:val="none"/>
              <w:left w:val="none"/>
              <w:bottom w:val="none"/>
              <w:right w:val="none"/>
            </w:tcBorders>
            <w:tcMar>
              <w:top w:type="dxa" w:w="80"/>
              <w:left w:type="dxa" w:w="80"/>
              <w:bottom w:type="dxa" w:w="80"/>
              <w:right w:type="dxa" w:w="200"/>
            </w:tcMar>
          </w:tcPr>
          <w:p>
            <w:pPr>
              <w:pBdr>
                <w:bottom w:val="single" w:color="000000" w:sz="4"/>
              </w:pBdr>
            </w:pPr>
            <w:r>
              <w:rPr>
                <w:sz w:val="40"/>
                <w:szCs w:val="40"/>
              </w:rPr>
              <w:t xml:space="preserve"> </w:t>
            </w:r>
          </w:p>
          <w:p>
            <w:r>
              <w:rPr>
                <w:rFonts w:ascii="Arial" w:cs="Arial" w:eastAsia="Arial" w:hAnsi="Arial"/>
                <w:sz w:val="18"/>
                <w:szCs w:val="18"/>
              </w:rPr>
              <w:t xml:space="preserve">DSMB Member (Oncologist / Immunologist #2) — Name, MD, Affiliation</w:t>
            </w:r>
          </w:p>
          <w:p>
            <w:pPr>
              <w:spacing w:before="60" w:after="60"/>
            </w:pPr>
            <w:r>
              <w:t xml:space="preserve"/>
            </w:r>
          </w:p>
          <w:p>
            <w:pPr>
              <w:pBdr>
                <w:bottom w:val="single" w:color="000000" w:sz="4"/>
              </w:pBdr>
            </w:pPr>
            <w:r>
              <w:rPr>
                <w:sz w:val="36"/>
                <w:szCs w:val="36"/>
              </w:rPr>
              <w:t xml:space="preserve"> </w:t>
            </w:r>
          </w:p>
          <w:p>
            <w:r>
              <w:rPr>
                <w:rFonts w:ascii="Arial" w:cs="Arial" w:eastAsia="Arial" w:hAnsi="Arial"/>
                <w:sz w:val="18"/>
                <w:szCs w:val="18"/>
              </w:rPr>
              <w:t xml:space="preserve">Date (DD-MMM-YYYY)</w:t>
            </w:r>
          </w:p>
        </w:tc>
        <w:tc>
          <w:tcPr>
            <w:tcW w:type="dxa" w:w="4680"/>
            <w:tcBorders>
              <w:top w:val="none"/>
              <w:left w:val="none"/>
              <w:bottom w:val="none"/>
              <w:right w:val="none"/>
            </w:tcBorders>
            <w:tcMar>
              <w:top w:type="dxa" w:w="80"/>
              <w:left w:type="dxa" w:w="200"/>
              <w:bottom w:type="dxa" w:w="80"/>
              <w:right w:type="dxa" w:w="80"/>
            </w:tcMar>
          </w:tcPr>
          <w:p>
            <w:pPr>
              <w:pBdr>
                <w:bottom w:val="single" w:color="000000" w:sz="4"/>
              </w:pBdr>
            </w:pPr>
            <w:r>
              <w:rPr>
                <w:sz w:val="40"/>
                <w:szCs w:val="40"/>
              </w:rPr>
              <w:t xml:space="preserve"> </w:t>
            </w:r>
          </w:p>
          <w:p>
            <w:r>
              <w:rPr>
                <w:rFonts w:ascii="Arial" w:cs="Arial" w:eastAsia="Arial" w:hAnsi="Arial"/>
                <w:sz w:val="18"/>
                <w:szCs w:val="18"/>
              </w:rPr>
              <w:t xml:space="preserve">DSMB Member (Clinical Pharmacologist) — Name, PhD, Affiliation</w:t>
            </w:r>
          </w:p>
          <w:p>
            <w:pPr>
              <w:spacing w:before="60" w:after="60"/>
            </w:pPr>
            <w:r>
              <w:t xml:space="preserve"/>
            </w:r>
          </w:p>
          <w:p>
            <w:pPr>
              <w:pBdr>
                <w:bottom w:val="single" w:color="000000" w:sz="4"/>
              </w:pBdr>
            </w:pPr>
            <w:r>
              <w:rPr>
                <w:sz w:val="36"/>
                <w:szCs w:val="36"/>
              </w:rPr>
              <w:t xml:space="preserve"> </w:t>
            </w:r>
          </w:p>
          <w:p>
            <w:r>
              <w:rPr>
                <w:rFonts w:ascii="Arial" w:cs="Arial" w:eastAsia="Arial" w:hAnsi="Arial"/>
                <w:sz w:val="18"/>
                <w:szCs w:val="18"/>
              </w:rPr>
              <w:t xml:space="preserve">Date (DD-MMM-YYYY)</w:t>
            </w:r>
          </w:p>
        </w:tc>
      </w:tr>
      <w:tr>
        <w:tc>
          <w:tcPr>
            <w:tcW w:type="dxa" w:w="4680"/>
            <w:tcBorders>
              <w:top w:val="none"/>
              <w:left w:val="none"/>
              <w:bottom w:val="none"/>
              <w:right w:val="none"/>
            </w:tcBorders>
          </w:tcPr>
          <w:p>
            <w:pPr>
              <w:spacing w:before="120" w:after="120"/>
            </w:pPr>
            <w:r>
              <w:t xml:space="preserve"/>
            </w:r>
          </w:p>
        </w:tc>
        <w:tc>
          <w:tcPr>
            <w:tcW w:type="dxa" w:w="4680"/>
            <w:tcBorders>
              <w:top w:val="none"/>
              <w:left w:val="none"/>
              <w:bottom w:val="none"/>
              <w:right w:val="none"/>
            </w:tcBorders>
          </w:tcPr>
          <w:p>
            <w:pPr>
              <w:spacing w:before="60" w:after="60"/>
            </w:pPr>
            <w:r>
              <w:t xml:space="preserve"/>
            </w:r>
          </w:p>
        </w:tc>
      </w:tr>
      <w:tr>
        <w:tc>
          <w:tcPr>
            <w:tcW w:type="dxa" w:w="4680"/>
            <w:tcBorders>
              <w:top w:val="none"/>
              <w:left w:val="none"/>
              <w:bottom w:val="none"/>
              <w:right w:val="none"/>
            </w:tcBorders>
            <w:tcMar>
              <w:top w:type="dxa" w:w="80"/>
              <w:left w:type="dxa" w:w="80"/>
              <w:bottom w:type="dxa" w:w="80"/>
              <w:right w:type="dxa" w:w="200"/>
            </w:tcMar>
          </w:tcPr>
          <w:p>
            <w:pPr>
              <w:pBdr>
                <w:bottom w:val="single" w:color="000000" w:sz="4"/>
              </w:pBdr>
            </w:pPr>
            <w:r>
              <w:rPr>
                <w:sz w:val="40"/>
                <w:szCs w:val="40"/>
              </w:rPr>
              <w:t xml:space="preserve"> </w:t>
            </w:r>
          </w:p>
          <w:p>
            <w:r>
              <w:rPr>
                <w:rFonts w:ascii="Arial" w:cs="Arial" w:eastAsia="Arial" w:hAnsi="Arial"/>
                <w:sz w:val="18"/>
                <w:szCs w:val="18"/>
              </w:rPr>
              <w:t xml:space="preserve">DSMB Member (Biostatistician) — Name, PhD, Affiliation</w:t>
            </w:r>
          </w:p>
          <w:p>
            <w:pPr>
              <w:spacing w:before="60" w:after="60"/>
            </w:pPr>
            <w:r>
              <w:t xml:space="preserve"/>
            </w:r>
          </w:p>
          <w:p>
            <w:pPr>
              <w:pBdr>
                <w:bottom w:val="single" w:color="000000" w:sz="4"/>
              </w:pBdr>
            </w:pPr>
            <w:r>
              <w:rPr>
                <w:sz w:val="36"/>
                <w:szCs w:val="36"/>
              </w:rPr>
              <w:t xml:space="preserve"> </w:t>
            </w:r>
          </w:p>
          <w:p>
            <w:r>
              <w:rPr>
                <w:rFonts w:ascii="Arial" w:cs="Arial" w:eastAsia="Arial" w:hAnsi="Arial"/>
                <w:sz w:val="18"/>
                <w:szCs w:val="18"/>
              </w:rPr>
              <w:t xml:space="preserve">Date (DD-MMM-YYYY)</w:t>
            </w:r>
          </w:p>
        </w:tc>
        <w:tc>
          <w:tcPr>
            <w:tcW w:type="dxa" w:w="4680"/>
            <w:tcBorders>
              <w:top w:val="none"/>
              <w:left w:val="none"/>
              <w:bottom w:val="none"/>
              <w:right w:val="none"/>
            </w:tcBorders>
            <w:tcMar>
              <w:top w:type="dxa" w:w="80"/>
              <w:left w:type="dxa" w:w="200"/>
              <w:bottom w:type="dxa" w:w="80"/>
              <w:right w:type="dxa" w:w="80"/>
            </w:tcMar>
          </w:tcPr>
          <w:p>
            <w:pPr>
              <w:pBdr>
                <w:bottom w:val="single" w:color="000000" w:sz="4"/>
              </w:pBdr>
            </w:pPr>
            <w:r>
              <w:rPr>
                <w:sz w:val="40"/>
                <w:szCs w:val="40"/>
              </w:rPr>
              <w:t xml:space="preserve"> </w:t>
            </w:r>
          </w:p>
          <w:p>
            <w:r>
              <w:rPr>
                <w:rFonts w:ascii="Arial" w:cs="Arial" w:eastAsia="Arial" w:hAnsi="Arial"/>
                <w:sz w:val="18"/>
                <w:szCs w:val="18"/>
              </w:rPr>
              <w:t xml:space="preserve">DSMB Advisor (Patient Advocate / Ethicist) — Name, Affiliation</w:t>
            </w:r>
          </w:p>
          <w:p>
            <w:pPr>
              <w:spacing w:before="60" w:after="60"/>
            </w:pPr>
            <w:r>
              <w:t xml:space="preserve"/>
            </w:r>
          </w:p>
          <w:p>
            <w:pPr>
              <w:pBdr>
                <w:bottom w:val="single" w:color="000000" w:sz="4"/>
              </w:pBdr>
            </w:pPr>
            <w:r>
              <w:rPr>
                <w:sz w:val="36"/>
                <w:szCs w:val="36"/>
              </w:rPr>
              <w:t xml:space="preserve"> </w:t>
            </w:r>
          </w:p>
          <w:p>
            <w:r>
              <w:rPr>
                <w:rFonts w:ascii="Arial" w:cs="Arial" w:eastAsia="Arial" w:hAnsi="Arial"/>
                <w:sz w:val="18"/>
                <w:szCs w:val="18"/>
              </w:rPr>
              <w:t xml:space="preserve">Date (DD-MMM-YYYY)</w:t>
            </w:r>
          </w:p>
        </w:tc>
      </w:tr>
      <w:tr>
        <w:tc>
          <w:tcPr>
            <w:tcW w:type="dxa" w:w="4680"/>
            <w:tcBorders>
              <w:top w:val="none"/>
              <w:left w:val="none"/>
              <w:bottom w:val="none"/>
              <w:right w:val="none"/>
            </w:tcBorders>
          </w:tcPr>
          <w:p>
            <w:pPr>
              <w:spacing w:before="120" w:after="120"/>
            </w:pPr>
            <w:r>
              <w:t xml:space="preserve"/>
            </w:r>
          </w:p>
        </w:tc>
        <w:tc>
          <w:tcPr>
            <w:tcW w:type="dxa" w:w="4680"/>
            <w:tcBorders>
              <w:top w:val="none"/>
              <w:left w:val="none"/>
              <w:bottom w:val="none"/>
              <w:right w:val="none"/>
            </w:tcBorders>
          </w:tcPr>
          <w:p>
            <w:pPr>
              <w:spacing w:before="60" w:after="60"/>
            </w:pPr>
            <w:r>
              <w:t xml:space="preserve"/>
            </w:r>
          </w:p>
        </w:tc>
      </w:tr>
      <w:tr>
        <w:tc>
          <w:tcPr>
            <w:tcW w:type="dxa" w:w="4680"/>
            <w:tcBorders>
              <w:top w:val="none"/>
              <w:left w:val="none"/>
              <w:bottom w:val="none"/>
              <w:right w:val="none"/>
            </w:tcBorders>
            <w:tcMar>
              <w:top w:type="dxa" w:w="80"/>
              <w:left w:type="dxa" w:w="80"/>
              <w:bottom w:type="dxa" w:w="80"/>
              <w:right w:type="dxa" w:w="200"/>
            </w:tcMar>
          </w:tcPr>
          <w:p>
            <w:pPr>
              <w:pBdr>
                <w:bottom w:val="single" w:color="000000" w:sz="4"/>
              </w:pBdr>
            </w:pPr>
            <w:r>
              <w:rPr>
                <w:sz w:val="40"/>
                <w:szCs w:val="40"/>
              </w:rPr>
              <w:t xml:space="preserve"> </w:t>
            </w:r>
          </w:p>
          <w:p>
            <w:r>
              <w:rPr>
                <w:rFonts w:ascii="Arial" w:cs="Arial" w:eastAsia="Arial" w:hAnsi="Arial"/>
                <w:sz w:val="18"/>
                <w:szCs w:val="18"/>
              </w:rPr>
              <w:t xml:space="preserve">Sponsor Medical Monitor / Chief Medical Officer</w:t>
            </w:r>
          </w:p>
          <w:p>
            <w:pPr>
              <w:spacing w:before="60" w:after="60"/>
            </w:pPr>
            <w:r>
              <w:t xml:space="preserve"/>
            </w:r>
          </w:p>
          <w:p>
            <w:pPr>
              <w:pBdr>
                <w:bottom w:val="single" w:color="000000" w:sz="4"/>
              </w:pBdr>
            </w:pPr>
            <w:r>
              <w:rPr>
                <w:sz w:val="36"/>
                <w:szCs w:val="36"/>
              </w:rPr>
              <w:t xml:space="preserve"> </w:t>
            </w:r>
          </w:p>
          <w:p>
            <w:r>
              <w:rPr>
                <w:rFonts w:ascii="Arial" w:cs="Arial" w:eastAsia="Arial" w:hAnsi="Arial"/>
                <w:sz w:val="18"/>
                <w:szCs w:val="18"/>
              </w:rPr>
              <w:t xml:space="preserve">Date (DD-MMM-YYYY)</w:t>
            </w:r>
          </w:p>
        </w:tc>
        <w:tc>
          <w:tcPr>
            <w:tcW w:type="dxa" w:w="4680"/>
            <w:tcBorders>
              <w:top w:val="none"/>
              <w:left w:val="none"/>
              <w:bottom w:val="none"/>
              <w:right w:val="none"/>
            </w:tcBorders>
            <w:tcMar>
              <w:top w:type="dxa" w:w="80"/>
              <w:left w:type="dxa" w:w="200"/>
              <w:bottom w:type="dxa" w:w="80"/>
              <w:right w:type="dxa" w:w="80"/>
            </w:tcMar>
          </w:tcPr>
          <w:p>
            <w:pPr>
              <w:pBdr>
                <w:bottom w:val="single" w:color="000000" w:sz="4"/>
              </w:pBdr>
            </w:pPr>
            <w:r>
              <w:rPr>
                <w:sz w:val="40"/>
                <w:szCs w:val="40"/>
              </w:rPr>
              <w:t xml:space="preserve"> </w:t>
            </w:r>
          </w:p>
          <w:p>
            <w:r>
              <w:rPr>
                <w:rFonts w:ascii="Arial" w:cs="Arial" w:eastAsia="Arial" w:hAnsi="Arial"/>
                <w:sz w:val="18"/>
                <w:szCs w:val="18"/>
              </w:rPr>
              <w:t xml:space="preserve">Sponsor Head of Clinical Development</w:t>
            </w:r>
          </w:p>
          <w:p>
            <w:pPr>
              <w:spacing w:before="60" w:after="60"/>
            </w:pPr>
            <w:r>
              <w:t xml:space="preserve"/>
            </w:r>
          </w:p>
          <w:p>
            <w:pPr>
              <w:pBdr>
                <w:bottom w:val="single" w:color="000000" w:sz="4"/>
              </w:pBdr>
            </w:pPr>
            <w:r>
              <w:rPr>
                <w:sz w:val="36"/>
                <w:szCs w:val="36"/>
              </w:rPr>
              <w:t xml:space="preserve"> </w:t>
            </w:r>
          </w:p>
          <w:p>
            <w:r>
              <w:rPr>
                <w:rFonts w:ascii="Arial" w:cs="Arial" w:eastAsia="Arial" w:hAnsi="Arial"/>
                <w:sz w:val="18"/>
                <w:szCs w:val="18"/>
              </w:rPr>
              <w:t xml:space="preserve">Date (DD-MMM-YYYY)</w:t>
            </w:r>
          </w:p>
        </w:tc>
      </w:tr>
    </w:tbl>
    <w:p>
      <w:pPr>
        <w:spacing w:before="120" w:after="120"/>
      </w:pPr>
      <w:r>
        <w:t xml:space="preserve"/>
      </w:r>
    </w:p>
    <w:p>
      <w:pPr>
        <w:pStyle w:val="Heading2"/>
        <w:spacing w:before="200" w:after="100"/>
      </w:pPr>
      <w:r>
        <w:rPr>
          <w:rFonts w:ascii="Arial" w:cs="Arial" w:eastAsia="Arial" w:hAnsi="Arial"/>
          <w:b/>
          <w:bCs/>
          <w:color w:val="2E75B6"/>
          <w:sz w:val="24"/>
          <w:szCs w:val="24"/>
        </w:rPr>
        <w:t xml:space="preserve">Charter Amendment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4060"/>
      </w:tblGrid>
      <w:tr>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Version</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Date</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Author</w:t>
            </w:r>
          </w:p>
        </w:tc>
        <w:tc>
          <w:tcPr>
            <w:tcW w:type="dxa" w:w="40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Summary of Changes</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[DATE]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Sponsor + DSMB</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Original Charter — executed prior to first patient enrollment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888888"/>
        <w:sz w:val="16"/>
        <w:szCs w:val="16"/>
      </w:rPr>
      <w:t xml:space="preserve">CONFIDENTIAL — FOR REGULATORY AND INTERNAL USE ONLY</w:t>
    </w:r>
    <w:r>
      <w:rPr>
        <w:rFonts w:ascii="Arial" w:cs="Arial" w:eastAsia="Arial" w:hAnsi="Arial"/>
        <w:color w:val="888888"/>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888888"/>
        <w:sz w:val="16"/>
        <w:szCs w:val="16"/>
      </w:rPr>
      <w:t xml:space="preserve">DATA SAFETY MONITORING BOARD CHARTER  |  CERVIMAB (Anti-PD-1)  |  Protocol CERV-001-SAD/MAD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color w:val="1F3864"/>
      <w:sz w:val="30"/>
      <w:szCs w:val="30"/>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80"/>
      <w:outlineLvl w:val="2"/>
    </w:pPr>
    <w:rPr>
      <w:rFonts w:ascii="Arial" w:cs="Arial" w:eastAsia="Arial" w:hAnsi="Arial"/>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2026-03-16T13:28:25.963Z</dcterms:created>
  <dcterms:modified xsi:type="dcterms:W3CDTF">2026-03-16T13:28:25.964Z</dcterms:modified>
</cp:coreProperties>
</file>

<file path=docProps/custom.xml><?xml version="1.0" encoding="utf-8"?>
<Properties xmlns="http://schemas.openxmlformats.org/officeDocument/2006/custom-properties" xmlns:vt="http://schemas.openxmlformats.org/officeDocument/2006/docPropsVTypes"/>
</file>