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160"/>
      </w:pPr>
      <w:r>
        <w:t xml:space="preserve"/>
      </w:r>
    </w:p>
    <w:p>
      <w:pPr>
        <w:spacing w:before="0" w:after="40"/>
        <w:jc w:val="center"/>
      </w:pPr>
      <w:r>
        <w:rPr>
          <w:rFonts w:ascii="Arial" w:cs="Arial" w:eastAsia="Arial" w:hAnsi="Arial"/>
          <w:b/>
          <w:bCs/>
          <w:color w:val="1F3864"/>
          <w:sz w:val="48"/>
          <w:szCs w:val="48"/>
        </w:rPr>
        <w:t xml:space="preserve">CLINICAL STUDY PROTOCOL</w:t>
      </w:r>
    </w:p>
    <w:p>
      <w:pPr>
        <w:pBdr>
          <w:bottom w:val="single" w:color="2E75B6" w:sz="8" w:space="4"/>
        </w:pBdr>
        <w:spacing w:before="0" w:after="200"/>
        <w:jc w:val="center"/>
      </w:pPr>
      <w:r>
        <w:rPr>
          <w:rFonts w:ascii="Arial" w:cs="Arial" w:eastAsia="Arial" w:hAnsi="Arial"/>
          <w:b/>
          <w:bCs/>
          <w:color w:val="2E75B6"/>
          <w:sz w:val="36"/>
          <w:szCs w:val="36"/>
        </w:rPr>
        <w:t xml:space="preserve">Phase 1 First-in-Human SAD/MAD Study</w:t>
      </w:r>
    </w:p>
    <w:p>
      <w:pPr>
        <w:spacing w:before="80" w:after="80"/>
      </w:pPr>
      <w:r>
        <w:t xml:space="preserve"/>
      </w:r>
    </w:p>
    <w:p>
      <w:pPr>
        <w:spacing w:before="100" w:after="60"/>
        <w:jc w:val="center"/>
      </w:pPr>
      <w:r>
        <w:rPr>
          <w:rFonts w:ascii="Arial" w:cs="Arial" w:eastAsia="Arial" w:hAnsi="Arial"/>
          <w:b/>
          <w:bCs/>
          <w:color w:val="1F3864"/>
          <w:sz w:val="44"/>
          <w:szCs w:val="44"/>
        </w:rPr>
        <w:t xml:space="preserve">CERVIMAB</w:t>
      </w:r>
    </w:p>
    <w:p>
      <w:pPr>
        <w:spacing w:before="0" w:after="60"/>
        <w:jc w:val="center"/>
      </w:pPr>
      <w:r>
        <w:rPr>
          <w:rFonts w:ascii="Arial" w:cs="Arial" w:eastAsia="Arial" w:hAnsi="Arial"/>
          <w:color w:val="444444"/>
          <w:sz w:val="28"/>
          <w:szCs w:val="28"/>
        </w:rPr>
        <w:t xml:space="preserve">(Anti-PD-1 Monoclonal Antibody)</w:t>
      </w:r>
    </w:p>
    <w:p>
      <w:pPr>
        <w:spacing w:before="60" w:after="300"/>
        <w:jc w:val="center"/>
      </w:pPr>
      <w:r>
        <w:rPr>
          <w:rFonts w:ascii="Arial" w:cs="Arial" w:eastAsia="Arial" w:hAnsi="Arial"/>
          <w:i/>
          <w:iCs/>
          <w:color w:val="666666"/>
          <w:sz w:val="22"/>
          <w:szCs w:val="22"/>
        </w:rPr>
        <w:t xml:space="preserve">IND Number: [XXXXX]</w:t>
      </w:r>
    </w:p>
    <w:p>
      <w:pPr>
        <w:spacing w:before="40" w:after="4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Protocol Title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A Phase 1, Open-Label, Single- and Multiple-Ascending Dose Study to Evaluate the Safety, Tolerability, Pharmacokinetics, and Immunogenicity of Cervimab in Patients with dMMR/MSI-H Metastatic Colorectal Cancer</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Protocol Number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CERV-001-SAD/MAD</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Version / Date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Version 1.0 — [DATE]</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Sponsor</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[SPONSOR NAME], [ADDRESS]</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Phase</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Phase 1 (First-in-Human)</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Investigational Drug</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Cervimab — Anti-PD-1 IgG4 Monoclonal Antibody</w:t>
            </w:r>
          </w:p>
        </w:tc>
      </w:tr>
      <w:tr>
        <w:tc>
          <w:tcPr>
            <w:tcW w:type="dxa" w:w="24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18"/>
                <w:szCs w:val="18"/>
              </w:rPr>
              <w:t xml:space="preserve">Regulatory Basis</w:t>
            </w:r>
          </w:p>
        </w:tc>
        <w:tc>
          <w:tcPr>
            <w:tcW w:type="dxa" w:w="48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rFonts w:ascii="Arial" w:cs="Arial" w:eastAsia="Arial" w:hAnsi="Arial"/>
                <w:sz w:val="18"/>
                <w:szCs w:val="18"/>
              </w:rPr>
              <w:t xml:space="preserve">21 CFR 312 (IND Regulations); ICH E6(R2) GCP; ICH E8(R1); FDA Guidance for Industry: First-in-Human Studies for Investigational Oncology Drugs and Biologics (2025)</w:t>
            </w:r>
          </w:p>
        </w:tc>
      </w:tr>
    </w:tbl>
    <w:p>
      <w:pPr>
        <w:spacing w:before="240" w:after="240"/>
      </w:pPr>
      <w:r>
        <w:t xml:space="preserve"/>
      </w:r>
    </w:p>
    <w:p>
      <w:pPr>
        <w:jc w:val="center"/>
      </w:pPr>
      <w:r>
        <w:rPr>
          <w:rFonts w:ascii="Arial" w:cs="Arial" w:eastAsia="Arial" w:hAnsi="Arial"/>
          <w:i/>
          <w:iCs/>
          <w:color w:val="888888"/>
          <w:sz w:val="16"/>
          <w:szCs w:val="16"/>
        </w:rPr>
        <w:t xml:space="preserve">CONFIDENTIAL — This document contains proprietary and confidential information. Unauthorized use, reproduction, or disclosure is strictly prohibited.</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1. PROTOCOL SYNOPSIS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6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Details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Study Title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 Phase 1, Open-Label, SAD/MAD Study to Evaluate Safety, Tolerability, PK, and Immunogenicity of Cervimab in dMMR/MSI-H mCRC</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Study Design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Phase 1, open-label, dose-escalation study with two parts: Part A (SAD, single IV dose) and Part B (MAD, repeat IV dosing Q3W x 4 cycles)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Primary Objectives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Assess safety and tolerability; define MTD or RP2D; characterize PK profile of Cervimab</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Secondary Objectives</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Assess immunogenicity (ADA); preliminary anti-tumor activity (ORR, DCR, PFS per RECIST 1.1); characterize PD biomarkers (PD-1 receptor occupancy, tumor immune infiltrate)</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Indication</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Histologically confirmed dMMR/MSI-H metastatic colorectal adenocarcinoma, refractory to ≥1 prior line of therapy</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Planned Enrollment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Up to 54 patients (Part A: ~18; Part B: ~36)</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Dose Levels (Part A — SAD)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3, 10, 30, 100, 300 mg/kg IV — single ascending dose; 3+3 escalation design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Dose Levels (Part B — MAD)</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Select 3 doses from Part A; Q3W x 4 cycles; 3+3 design with DLT assessment in Cycle 1</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Starting Dose Rationale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 mg/kg IV; 1/10 of NOAEL (10 mg/kg) in most sensitive species (NHP); consistent with FDA FIH guidance for immunostimulatory biologics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DLT Assessment Window</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28 days post-dose (Part A); Cycle 1 (21 days; Part B)</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Key Inclusion Criteria</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Age ≥18 years; ECOG PS 0–2; confirmed dMMR/MSI-H; measurable disease; adequate organ function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Key Exclusion Criteria</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Prior anti-PD-1/PD-L1/CTLA-4; active autoimmune disease; systemic immunosuppressive therapy; uncontrolled CNS metastases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Study Duration (per patient)</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Screening (28 days) + Treatment + 90-day Safety Follow-Up</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Regulatory Compliance</w:t>
            </w:r>
          </w:p>
        </w:tc>
        <w:tc>
          <w:tcPr>
            <w:tcW w:type="dxa" w:w="6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US FDA 21 CFR 312; ICH E6(R2) GCP; ICH M3(R2); 21 CFR 50 (Informed Consent); 21 CFR 56 (IRB); Declaration of Helsinki</w:t>
            </w:r>
          </w:p>
        </w:tc>
      </w:tr>
    </w:tbl>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2. BACKGROUND AND RATIONALE</w:t>
      </w:r>
    </w:p>
    <w:p>
      <w:pPr>
        <w:pStyle w:val="Heading2"/>
        <w:spacing w:before="240" w:after="120"/>
      </w:pPr>
      <w:r>
        <w:rPr>
          <w:rFonts w:ascii="Arial" w:cs="Arial" w:eastAsia="Arial" w:hAnsi="Arial"/>
          <w:b/>
          <w:bCs/>
          <w:color w:val="2E75B6"/>
          <w:sz w:val="26"/>
          <w:szCs w:val="26"/>
        </w:rPr>
        <w:t xml:space="preserve">2.1 Disease Overview: dMMR/MSI-H Metastatic Colorectal Cancer</w:t>
      </w:r>
    </w:p>
    <w:p>
      <w:pPr>
        <w:spacing w:before="80" w:after="80"/>
      </w:pPr>
      <w:r>
        <w:rPr>
          <w:rFonts w:ascii="Arial" w:cs="Arial" w:eastAsia="Arial" w:hAnsi="Arial"/>
          <w:sz w:val="20"/>
          <w:szCs w:val="20"/>
        </w:rPr>
        <w:t xml:space="preserve">Colorectal cancer (CRC) is the third most common cancer and the second leading cause of cancer-related mortality in the United States, with approximately 153,000 new cases and 52,000 deaths estimated annually (SEER 2024). Metastatic CRC (mCRC) carries a 5-year survival rate of approximately 14%, underscoring the critical unmet medical need for effective therapies.</w:t>
      </w:r>
    </w:p>
    <w:p>
      <w:pPr>
        <w:spacing w:before="40" w:after="40"/>
      </w:pPr>
      <w:r>
        <w:t xml:space="preserve"/>
      </w:r>
    </w:p>
    <w:p>
      <w:pPr>
        <w:spacing w:before="80" w:after="80"/>
      </w:pPr>
      <w:r>
        <w:rPr>
          <w:rFonts w:ascii="Arial" w:cs="Arial" w:eastAsia="Arial" w:hAnsi="Arial"/>
          <w:sz w:val="20"/>
          <w:szCs w:val="20"/>
        </w:rPr>
        <w:t xml:space="preserve">Deficient mismatch repair (dMMR) or microsatellite instability-high (MSI-H) status is present in approximately 3–5% of mCRC cases, representing a molecularly distinct and clinically actionable subset. dMMR/MSI-H tumors harbor substantially higher tumor mutational burden (TMB-H) and neoantigen load compared to proficient MMR (pMMR) tumors, creating a highly immunogenic tumor microenvironment that is amenable to immune checkpoint blockade.</w:t>
      </w:r>
    </w:p>
    <w:p>
      <w:pPr>
        <w:pStyle w:val="Heading2"/>
        <w:spacing w:before="240" w:after="120"/>
      </w:pPr>
      <w:r>
        <w:rPr>
          <w:rFonts w:ascii="Arial" w:cs="Arial" w:eastAsia="Arial" w:hAnsi="Arial"/>
          <w:b/>
          <w:bCs/>
          <w:color w:val="2E75B6"/>
          <w:sz w:val="26"/>
          <w:szCs w:val="26"/>
        </w:rPr>
        <w:t xml:space="preserve">2.2 PD-1 Pathway Biology and Therapeutic Rationale for Cervimab</w:t>
      </w:r>
    </w:p>
    <w:p>
      <w:pPr>
        <w:spacing w:before="80" w:after="80"/>
      </w:pPr>
      <w:r>
        <w:rPr>
          <w:rFonts w:ascii="Arial" w:cs="Arial" w:eastAsia="Arial" w:hAnsi="Arial"/>
          <w:sz w:val="20"/>
          <w:szCs w:val="20"/>
        </w:rPr>
        <w:t xml:space="preserve">The programmed cell death protein 1 (PD-1) pathway is a central immune checkpoint that restrains adaptive anti-tumor immunity. Tumor cells and tumor-infiltrating immune cells upregulate PD-L1 and PD-L2 ligands, engaging PD-1 on cytotoxic T lymphocytes (CTLs) and thereby attenuating effector function, inducing T-cell exhaustion, and promoting immune escape. In dMMR/MSI-H CRC, dense T-cell infiltration accompanies prominent PD-L1 expression, providing the molecular rationale for PD-1 inhibition.</w:t>
      </w:r>
    </w:p>
    <w:p>
      <w:pPr>
        <w:spacing w:before="40" w:after="40"/>
      </w:pPr>
      <w:r>
        <w:t xml:space="preserve"/>
      </w:r>
    </w:p>
    <w:p>
      <w:pPr>
        <w:spacing w:before="80" w:after="80"/>
      </w:pPr>
      <w:r>
        <w:rPr>
          <w:rFonts w:ascii="Arial" w:cs="Arial" w:eastAsia="Arial" w:hAnsi="Arial"/>
          <w:sz w:val="20"/>
          <w:szCs w:val="20"/>
        </w:rPr>
        <w:t xml:space="preserve">Cervimab is a fully humanized IgG4 anti-PD-1 monoclonal antibody with a stabilizing S228P hinge mutation to prevent Fab arm exchange. Cervimab binds with high affinity (KD &lt; 1 nM) to the PD-1 receptor, competitively blocking PD-L1 and PD-L2 binding, restoring effector T-cell function, and enabling anti-tumor immune cytotoxicity. Cervimab does not directly induce ADCC or CDC, minimizing risk of T-cell depletion.</w:t>
      </w:r>
    </w:p>
    <w:p>
      <w:pPr>
        <w:pStyle w:val="Heading2"/>
        <w:spacing w:before="240" w:after="120"/>
      </w:pPr>
      <w:r>
        <w:rPr>
          <w:rFonts w:ascii="Arial" w:cs="Arial" w:eastAsia="Arial" w:hAnsi="Arial"/>
          <w:b/>
          <w:bCs/>
          <w:color w:val="2E75B6"/>
          <w:sz w:val="26"/>
          <w:szCs w:val="26"/>
        </w:rPr>
        <w:t xml:space="preserve">2.3 Nonclinical Summary Supporting First-in-Human Dose</w:t>
      </w:r>
    </w:p>
    <w:p>
      <w:pPr>
        <w:spacing w:before="80" w:after="80"/>
      </w:pPr>
      <w:r>
        <w:rPr>
          <w:rFonts w:ascii="Arial" w:cs="Arial" w:eastAsia="Arial" w:hAnsi="Arial"/>
          <w:sz w:val="20"/>
          <w:szCs w:val="20"/>
        </w:rPr>
        <w:t xml:space="preserve">Preclinical pharmacology, toxicology, and PK studies supporting IND submission are summarized in the Investigator's Brochure (IB). Key findings:</w:t>
      </w:r>
    </w:p>
    <w:p>
      <w:pPr>
        <w:pStyle w:val="ListParagraph"/>
        <w:numPr>
          <w:ilvl w:val="0"/>
          <w:numId w:val="2"/>
        </w:numPr>
        <w:spacing w:before="60" w:after="60"/>
      </w:pPr>
      <w:r>
        <w:rPr>
          <w:rFonts w:ascii="Arial" w:cs="Arial" w:eastAsia="Arial" w:hAnsi="Arial"/>
          <w:sz w:val="20"/>
          <w:szCs w:val="20"/>
        </w:rPr>
        <w:t xml:space="preserve">In vitro: Cervimab blocked PD-1/PD-L1 interaction with IC50 of 0.8 nM; restored T-cell proliferation and IFN-gamma secretion in suppression assays; demonstrated no off-target binding across a 286-member receptor panel.</w:t>
      </w:r>
    </w:p>
    <w:p>
      <w:pPr>
        <w:pStyle w:val="ListParagraph"/>
        <w:numPr>
          <w:ilvl w:val="0"/>
          <w:numId w:val="2"/>
        </w:numPr>
        <w:spacing w:before="60" w:after="60"/>
      </w:pPr>
      <w:r>
        <w:rPr>
          <w:rFonts w:ascii="Arial" w:cs="Arial" w:eastAsia="Arial" w:hAnsi="Arial"/>
          <w:sz w:val="20"/>
          <w:szCs w:val="20"/>
        </w:rPr>
        <w:t xml:space="preserve">In vivo (MC38 syngeneic mouse model): Significant tumor growth inhibition observed at 1–10 mg/kg IP, with 40% complete responses at 10 mg/kg.</w:t>
      </w:r>
    </w:p>
    <w:p>
      <w:pPr>
        <w:pStyle w:val="ListParagraph"/>
        <w:numPr>
          <w:ilvl w:val="0"/>
          <w:numId w:val="2"/>
        </w:numPr>
        <w:spacing w:before="60" w:after="60"/>
      </w:pPr>
      <w:r>
        <w:rPr>
          <w:rFonts w:ascii="Arial" w:cs="Arial" w:eastAsia="Arial" w:hAnsi="Arial"/>
          <w:sz w:val="20"/>
          <w:szCs w:val="20"/>
        </w:rPr>
        <w:t xml:space="preserve">GLP Repeat-Dose Toxicology (NHP, 26-week): NOAEL established at 10 mg/kg Q2W IV. Adverse findings above NOAEL included immune-mediated colitis (Grades 2–3), hepatocellular enzyme elevations, and pneumonitis. All findings were reversible upon cessation.</w:t>
      </w:r>
    </w:p>
    <w:p>
      <w:pPr>
        <w:pStyle w:val="ListParagraph"/>
        <w:numPr>
          <w:ilvl w:val="0"/>
          <w:numId w:val="2"/>
        </w:numPr>
        <w:spacing w:before="60" w:after="60"/>
      </w:pPr>
      <w:r>
        <w:rPr>
          <w:rFonts w:ascii="Arial" w:cs="Arial" w:eastAsia="Arial" w:hAnsi="Arial"/>
          <w:sz w:val="20"/>
          <w:szCs w:val="20"/>
        </w:rPr>
        <w:t xml:space="preserve">PK/PD modeling: Predicted therapeutic PD-1 receptor occupancy (&gt;80%) at approximately 3 mg/kg in human based on cross-species allometric scaling and receptor occupancy modeling.</w:t>
      </w:r>
    </w:p>
    <w:p>
      <w:pPr>
        <w:pStyle w:val="ListParagraph"/>
        <w:numPr>
          <w:ilvl w:val="0"/>
          <w:numId w:val="2"/>
        </w:numPr>
        <w:spacing w:before="60" w:after="60"/>
      </w:pPr>
      <w:r>
        <w:rPr>
          <w:rFonts w:ascii="Arial" w:cs="Arial" w:eastAsia="Arial" w:hAnsi="Arial"/>
          <w:sz w:val="20"/>
          <w:szCs w:val="20"/>
        </w:rPr>
        <w:t xml:space="preserve">FIH dose selection: Starting dose of 1 mg/kg IV corresponds to 1/10 of NOAEL (10 mg/kg) in NHP, consistent with FDA guidance for immunostimulatory biologics.</w:t>
      </w:r>
    </w:p>
    <w:p>
      <w:pPr>
        <w:pStyle w:val="Heading2"/>
        <w:spacing w:before="240" w:after="120"/>
      </w:pPr>
      <w:r>
        <w:rPr>
          <w:rFonts w:ascii="Arial" w:cs="Arial" w:eastAsia="Arial" w:hAnsi="Arial"/>
          <w:b/>
          <w:bCs/>
          <w:color w:val="2E75B6"/>
          <w:sz w:val="26"/>
          <w:szCs w:val="26"/>
        </w:rPr>
        <w:t xml:space="preserve">2.4 Regulatory Considerations</w:t>
      </w:r>
    </w:p>
    <w:p>
      <w:pPr>
        <w:spacing w:before="80" w:after="80"/>
      </w:pPr>
      <w:r>
        <w:rPr>
          <w:rFonts w:ascii="Arial" w:cs="Arial" w:eastAsia="Arial" w:hAnsi="Arial"/>
          <w:sz w:val="20"/>
          <w:szCs w:val="20"/>
        </w:rPr>
        <w:t xml:space="preserve">This study is conducted under an active IND (21 CFR Part 312). The study design is consistent with FDA Guidance for Industry: Considerations for the Design, Conduct, and Analysis of First-in-Human Studies for Investigational Oncology Drugs and Biologics (2025 Draft Guidance) and FDA Guidance on Expedited Programs for Serious Conditions (2023). dMMR/MSI-H mCRC qualifies for Breakthrough Therapy Designation consideration.</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3. STUDY OBJECTIVES AND ENDPOINTS</w:t>
      </w:r>
    </w:p>
    <w:p>
      <w:pPr>
        <w:pStyle w:val="Heading2"/>
        <w:spacing w:before="240" w:after="120"/>
      </w:pPr>
      <w:r>
        <w:rPr>
          <w:rFonts w:ascii="Arial" w:cs="Arial" w:eastAsia="Arial" w:hAnsi="Arial"/>
          <w:b/>
          <w:bCs/>
          <w:color w:val="2E75B6"/>
          <w:sz w:val="26"/>
          <w:szCs w:val="26"/>
        </w:rPr>
        <w:t xml:space="preserve">3.1 Primary Objectives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Primary Objective</w:t>
            </w:r>
          </w:p>
        </w:tc>
        <w:tc>
          <w:tcPr>
            <w:tcW w:type="dxa" w:w="5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Primary Endpoint</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Assess safety and tolerability of single (Part A) and multiple (Part B) ascending IV doses of Cervimab</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Incidence and severity of AEs and SAEs per NCI CTCAE v5.0; incidence of DLTs within the DLT assessment window; MTD or RP2D determination</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Characterize the PK profile of Cervimab following single and repeat IV dosing</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Cmax, Tmax, AUC0-t, AUC0-inf, t1/2, CL, Vd (Part A); Css, accumulation ratio, time to steady state (Part B)</w:t>
            </w:r>
          </w:p>
        </w:tc>
      </w:tr>
    </w:tbl>
    <w:p>
      <w:pPr>
        <w:pStyle w:val="Heading2"/>
        <w:spacing w:before="240" w:after="120"/>
      </w:pPr>
      <w:r>
        <w:rPr>
          <w:rFonts w:ascii="Arial" w:cs="Arial" w:eastAsia="Arial" w:hAnsi="Arial"/>
          <w:b/>
          <w:bCs/>
          <w:color w:val="2E75B6"/>
          <w:sz w:val="26"/>
          <w:szCs w:val="26"/>
        </w:rPr>
        <w:t xml:space="preserve">3.2 Secondary Objectives and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Secondary Objective</w:t>
            </w:r>
          </w:p>
        </w:tc>
        <w:tc>
          <w:tcPr>
            <w:tcW w:type="dxa" w:w="58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Secondary Endpoint</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Characterize immunogenicity profile</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Incidence and titer of anti-drug antibodies (ADA) and neutralizing antibodies (NAb) at pre-specified timepoints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Preliminary anti-tumor activity (Part B)</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Objective Response Rate (ORR), Disease Control Rate (DCR), Duration of Response (DoR), PFS per RECIST v1.1; Overall Survival (OS) at 6 and 12 months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Pharmacodynamic biomarkers</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PD-1 receptor occupancy on peripheral CD3+ T cells; tumor immune cell infiltrate (CD8+, PD-L1 CPS) by IHC; serum IFN-gamma, IL-6, TNF-alpha levels</w:t>
            </w:r>
          </w:p>
        </w:tc>
      </w:tr>
      <w:tr>
        <w:tc>
          <w:tcPr>
            <w:tcW w:type="dxa" w:w="3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PK/PD relationship</w:t>
            </w:r>
          </w:p>
        </w:tc>
        <w:tc>
          <w:tcPr>
            <w:tcW w:type="dxa" w:w="5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Correlation between Cervimab exposure (AUC, Cmax) and PD-1 receptor occupancy; PK/PD modeling for RP2D selection</w:t>
            </w:r>
          </w:p>
        </w:tc>
      </w:tr>
    </w:tbl>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4. STUDY DESIGN</w:t>
      </w:r>
    </w:p>
    <w:p>
      <w:pPr>
        <w:pStyle w:val="Heading2"/>
        <w:spacing w:before="240" w:after="120"/>
      </w:pPr>
      <w:r>
        <w:rPr>
          <w:rFonts w:ascii="Arial" w:cs="Arial" w:eastAsia="Arial" w:hAnsi="Arial"/>
          <w:b/>
          <w:bCs/>
          <w:color w:val="2E75B6"/>
          <w:sz w:val="26"/>
          <w:szCs w:val="26"/>
        </w:rPr>
        <w:t xml:space="preserve">4.1 Overview</w:t>
      </w:r>
    </w:p>
    <w:p>
      <w:pPr>
        <w:spacing w:before="80" w:after="80"/>
      </w:pPr>
      <w:r>
        <w:rPr>
          <w:rFonts w:ascii="Arial" w:cs="Arial" w:eastAsia="Arial" w:hAnsi="Arial"/>
          <w:sz w:val="20"/>
          <w:szCs w:val="20"/>
        </w:rPr>
        <w:t xml:space="preserve">CERV-001-SAD/MAD is a Phase 1, open-label, multicenter, dose-escalation study conducted in two sequential parts:</w:t>
      </w:r>
    </w:p>
    <w:p>
      <w:pPr>
        <w:pStyle w:val="ListParagraph"/>
        <w:numPr>
          <w:ilvl w:val="0"/>
          <w:numId w:val="2"/>
        </w:numPr>
        <w:spacing w:before="60" w:after="60"/>
      </w:pPr>
      <w:r>
        <w:rPr>
          <w:rFonts w:ascii="Arial" w:cs="Arial" w:eastAsia="Arial" w:hAnsi="Arial"/>
          <w:sz w:val="20"/>
          <w:szCs w:val="20"/>
        </w:rPr>
        <w:t xml:space="preserve">Part A (SAD): Single IV administration of Cervimab across up to 6 dose levels using a 3+3 design. Each cohort enrolls 3 patients. Following completion of the DLT assessment window, the DSMB/Safety Review Committee reviews safety data before escalation to the next dose level.</w:t>
      </w:r>
    </w:p>
    <w:p>
      <w:pPr>
        <w:pStyle w:val="ListParagraph"/>
        <w:numPr>
          <w:ilvl w:val="0"/>
          <w:numId w:val="2"/>
        </w:numPr>
        <w:spacing w:before="60" w:after="60"/>
      </w:pPr>
      <w:r>
        <w:rPr>
          <w:rFonts w:ascii="Arial" w:cs="Arial" w:eastAsia="Arial" w:hAnsi="Arial"/>
          <w:sz w:val="20"/>
          <w:szCs w:val="20"/>
        </w:rPr>
        <w:t xml:space="preserve">Part B (MAD): Multiple ascending dose administration (Q3W x 4 cycles) at 3 selected dose levels informed by Part A. Enrollment of 3–6 patients per cohort; 3+3 design with DLT defined within Cycle 1 (Days 1–21).</w:t>
      </w:r>
    </w:p>
    <w:p>
      <w:pPr>
        <w:spacing w:before="40" w:after="40"/>
      </w:pPr>
      <w:r>
        <w:t xml:space="preserve"/>
      </w:r>
    </w:p>
    <w:p>
      <w:pPr>
        <w:spacing w:before="80" w:after="80"/>
      </w:pPr>
      <w:r>
        <w:rPr>
          <w:rFonts w:ascii="Arial" w:cs="Arial" w:eastAsia="Arial" w:hAnsi="Arial"/>
          <w:sz w:val="20"/>
          <w:szCs w:val="20"/>
        </w:rPr>
        <w:t xml:space="preserve">Upon completion of the planned dose levels or upon MTD/RP2D determination, an optional dose-expansion cohort may be initiated at the RP2D to collect additional safety, PK, and preliminary efficacy data in up to 20 additional patients (contingent on IND amendment).</w:t>
      </w:r>
    </w:p>
    <w:p>
      <w:pPr>
        <w:pStyle w:val="Heading2"/>
        <w:spacing w:before="240" w:after="120"/>
      </w:pPr>
      <w:r>
        <w:rPr>
          <w:rFonts w:ascii="Arial" w:cs="Arial" w:eastAsia="Arial" w:hAnsi="Arial"/>
          <w:b/>
          <w:bCs/>
          <w:color w:val="2E75B6"/>
          <w:sz w:val="26"/>
          <w:szCs w:val="26"/>
        </w:rPr>
        <w:t xml:space="preserve">4.2 Study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2760"/>
      </w:tblGrid>
      <w:tr>
        <w:tc>
          <w:tcPr>
            <w:tcW w:type="dxa" w:w="1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Phase</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Cohort</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Dose (mg/kg)</w:t>
            </w:r>
          </w:p>
        </w:tc>
        <w:tc>
          <w:tcPr>
            <w:tcW w:type="dxa" w:w="1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Route/Schedule</w:t>
            </w:r>
          </w:p>
        </w:tc>
        <w:tc>
          <w:tcPr>
            <w:tcW w:type="dxa" w:w="27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n (planned)</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Part A — SAD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x1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(up to 6 if expansion needed)</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x1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(up to 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x1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(up to 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A4</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x1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(up to 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A5</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x1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(up to 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A6</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300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x1</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 (up to 6)</w:t>
            </w:r>
          </w:p>
        </w:tc>
      </w:tr>
      <w:tr>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Part B — MAD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TBD (based on Part A)</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Q3W x4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Q3W x4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B3</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TBD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IV Q3W x4</w:t>
            </w:r>
          </w:p>
        </w:tc>
        <w:tc>
          <w:tcPr>
            <w:tcW w:type="dxa" w:w="2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bl>
    <w:p>
      <w:pPr>
        <w:pStyle w:val="Heading2"/>
        <w:spacing w:before="240" w:after="120"/>
      </w:pPr>
      <w:r>
        <w:rPr>
          <w:rFonts w:ascii="Arial" w:cs="Arial" w:eastAsia="Arial" w:hAnsi="Arial"/>
          <w:b/>
          <w:bCs/>
          <w:color w:val="2E75B6"/>
          <w:sz w:val="26"/>
          <w:szCs w:val="26"/>
        </w:rPr>
        <w:t xml:space="preserve">4.3 Dose Escalation Rules (3+3 Design)</w:t>
      </w:r>
    </w:p>
    <w:p>
      <w:pPr>
        <w:spacing w:before="80" w:after="80"/>
      </w:pPr>
      <w:r>
        <w:rPr>
          <w:rFonts w:ascii="Arial" w:cs="Arial" w:eastAsia="Arial" w:hAnsi="Arial"/>
          <w:sz w:val="20"/>
          <w:szCs w:val="20"/>
        </w:rPr>
        <w:t xml:space="preserve">Dose escalation proceeds as follows:</w:t>
      </w:r>
    </w:p>
    <w:p>
      <w:pPr>
        <w:pStyle w:val="ListParagraph"/>
        <w:numPr>
          <w:ilvl w:val="0"/>
          <w:numId w:val="2"/>
        </w:numPr>
        <w:spacing w:before="60" w:after="60"/>
      </w:pPr>
      <w:r>
        <w:rPr>
          <w:rFonts w:ascii="Arial" w:cs="Arial" w:eastAsia="Arial" w:hAnsi="Arial"/>
          <w:sz w:val="20"/>
          <w:szCs w:val="20"/>
        </w:rPr>
        <w:t xml:space="preserve">Cohort of 3 patients enrolled at a given dose level.</w:t>
      </w:r>
    </w:p>
    <w:p>
      <w:pPr>
        <w:pStyle w:val="ListParagraph"/>
        <w:numPr>
          <w:ilvl w:val="0"/>
          <w:numId w:val="2"/>
        </w:numPr>
        <w:spacing w:before="60" w:after="60"/>
      </w:pPr>
      <w:r>
        <w:rPr>
          <w:rFonts w:ascii="Arial" w:cs="Arial" w:eastAsia="Arial" w:hAnsi="Arial"/>
          <w:sz w:val="20"/>
          <w:szCs w:val="20"/>
        </w:rPr>
        <w:t xml:space="preserve">If 0/3 patients experience a DLT: escalate to next dose level after DSMB review.</w:t>
      </w:r>
    </w:p>
    <w:p>
      <w:pPr>
        <w:pStyle w:val="ListParagraph"/>
        <w:numPr>
          <w:ilvl w:val="0"/>
          <w:numId w:val="2"/>
        </w:numPr>
        <w:spacing w:before="60" w:after="60"/>
      </w:pPr>
      <w:r>
        <w:rPr>
          <w:rFonts w:ascii="Arial" w:cs="Arial" w:eastAsia="Arial" w:hAnsi="Arial"/>
          <w:sz w:val="20"/>
          <w:szCs w:val="20"/>
        </w:rPr>
        <w:t xml:space="preserve">If 1/3 patients experience a DLT: expand cohort to 6 patients.</w:t>
      </w:r>
    </w:p>
    <w:p>
      <w:pPr>
        <w:pStyle w:val="ListParagraph"/>
        <w:numPr>
          <w:ilvl w:val="0"/>
          <w:numId w:val="2"/>
        </w:numPr>
        <w:spacing w:before="60" w:after="60"/>
      </w:pPr>
      <w:r>
        <w:rPr>
          <w:rFonts w:ascii="Arial" w:cs="Arial" w:eastAsia="Arial" w:hAnsi="Arial"/>
          <w:sz w:val="20"/>
          <w:szCs w:val="20"/>
        </w:rPr>
        <w:t xml:space="preserve">If 1/6 patients experience a DLT: escalate to next dose level.</w:t>
      </w:r>
    </w:p>
    <w:p>
      <w:pPr>
        <w:pStyle w:val="ListParagraph"/>
        <w:numPr>
          <w:ilvl w:val="0"/>
          <w:numId w:val="2"/>
        </w:numPr>
        <w:spacing w:before="60" w:after="60"/>
      </w:pPr>
      <w:r>
        <w:rPr>
          <w:rFonts w:ascii="Arial" w:cs="Arial" w:eastAsia="Arial" w:hAnsi="Arial"/>
          <w:sz w:val="20"/>
          <w:szCs w:val="20"/>
        </w:rPr>
        <w:t xml:space="preserve">If ≥2/6 patients experience a DLT: MTD exceeded; declare prior dose level as MTD.</w:t>
      </w:r>
    </w:p>
    <w:p>
      <w:pPr>
        <w:pStyle w:val="ListParagraph"/>
        <w:numPr>
          <w:ilvl w:val="0"/>
          <w:numId w:val="2"/>
        </w:numPr>
        <w:spacing w:before="60" w:after="60"/>
      </w:pPr>
      <w:r>
        <w:rPr>
          <w:rFonts w:ascii="Arial" w:cs="Arial" w:eastAsia="Arial" w:hAnsi="Arial"/>
          <w:sz w:val="20"/>
          <w:szCs w:val="20"/>
        </w:rPr>
        <w:t xml:space="preserve">If ≥2/3 patients experience a DLT: MTD exceeded; expand prior cohort to 6 patients to confirm MTD.</w:t>
      </w:r>
    </w:p>
    <w:p>
      <w:pPr>
        <w:spacing w:before="40" w:after="40"/>
      </w:pPr>
      <w:r>
        <w:t xml:space="preserve"/>
      </w:r>
    </w:p>
    <w:p>
      <w:pPr>
        <w:spacing w:before="80" w:after="80"/>
      </w:pPr>
      <w:r>
        <w:rPr>
          <w:rFonts w:ascii="Arial" w:cs="Arial" w:eastAsia="Arial" w:hAnsi="Arial"/>
          <w:sz w:val="20"/>
          <w:szCs w:val="20"/>
        </w:rPr>
        <w:t xml:space="preserve">The MTD is defined as the highest dose level at which &lt;2/6 patients experience a DLT. The RP2D will be selected by the DSMB, taking into account safety, PK, PD biomarkers, and emerging efficacy signals; the RP2D may not be the MTD.</w:t>
      </w:r>
    </w:p>
    <w:p>
      <w:pPr>
        <w:pStyle w:val="Heading2"/>
        <w:spacing w:before="240" w:after="120"/>
      </w:pPr>
      <w:r>
        <w:rPr>
          <w:rFonts w:ascii="Arial" w:cs="Arial" w:eastAsia="Arial" w:hAnsi="Arial"/>
          <w:b/>
          <w:bCs/>
          <w:color w:val="2E75B6"/>
          <w:sz w:val="26"/>
          <w:szCs w:val="26"/>
        </w:rPr>
        <w:t xml:space="preserve">4.4 Accelerated Titration Option</w:t>
      </w:r>
    </w:p>
    <w:p>
      <w:pPr>
        <w:spacing w:before="80" w:after="80"/>
      </w:pPr>
      <w:r>
        <w:rPr>
          <w:rFonts w:ascii="Arial" w:cs="Arial" w:eastAsia="Arial" w:hAnsi="Arial"/>
          <w:sz w:val="20"/>
          <w:szCs w:val="20"/>
        </w:rPr>
        <w:t xml:space="preserve">At Dose Levels A1 and A2 (1 and 3 mg/kg), accelerated titration (1 patient per cohort) may be employed if no dose-related toxicity ≥Grade 2 is observed. Upon any Grade 2 drug-related toxicity, the cohort reverts to a 3+3 design. This approach is consistent with Simon et al. (1997) and FDA guidance on dose-escalation designs.</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5. PATIENT SELECTION CRITERIA</w:t>
      </w:r>
    </w:p>
    <w:p>
      <w:pPr>
        <w:pStyle w:val="Heading2"/>
        <w:spacing w:before="240" w:after="120"/>
      </w:pPr>
      <w:r>
        <w:rPr>
          <w:rFonts w:ascii="Arial" w:cs="Arial" w:eastAsia="Arial" w:hAnsi="Arial"/>
          <w:b/>
          <w:bCs/>
          <w:color w:val="2E75B6"/>
          <w:sz w:val="26"/>
          <w:szCs w:val="26"/>
        </w:rPr>
        <w:t xml:space="preserve">5.1 Inclusion Criteria</w:t>
      </w:r>
    </w:p>
    <w:p>
      <w:pPr>
        <w:spacing w:before="80" w:after="80"/>
      </w:pPr>
      <w:r>
        <w:rPr>
          <w:rFonts w:ascii="Arial" w:cs="Arial" w:eastAsia="Arial" w:hAnsi="Arial"/>
          <w:sz w:val="20"/>
          <w:szCs w:val="20"/>
        </w:rPr>
        <w:t xml:space="preserve">Patients must meet ALL of the following criteria:</w:t>
      </w:r>
    </w:p>
    <w:p>
      <w:pPr>
        <w:pStyle w:val="ListParagraph"/>
        <w:numPr>
          <w:ilvl w:val="0"/>
          <w:numId w:val="2"/>
        </w:numPr>
        <w:spacing w:before="60" w:after="60"/>
      </w:pPr>
      <w:r>
        <w:rPr>
          <w:rFonts w:ascii="Arial" w:cs="Arial" w:eastAsia="Arial" w:hAnsi="Arial"/>
          <w:sz w:val="20"/>
          <w:szCs w:val="20"/>
        </w:rPr>
        <w:t xml:space="preserve">Age ≥18 years at time of informed consent.</w:t>
      </w:r>
    </w:p>
    <w:p>
      <w:pPr>
        <w:pStyle w:val="ListParagraph"/>
        <w:numPr>
          <w:ilvl w:val="0"/>
          <w:numId w:val="2"/>
        </w:numPr>
        <w:spacing w:before="60" w:after="60"/>
      </w:pPr>
      <w:r>
        <w:rPr>
          <w:rFonts w:ascii="Arial" w:cs="Arial" w:eastAsia="Arial" w:hAnsi="Arial"/>
          <w:sz w:val="20"/>
          <w:szCs w:val="20"/>
        </w:rPr>
        <w:t xml:space="preserve">Histologically confirmed colorectal adenocarcinoma with documented distant metastases (mCRC).</w:t>
      </w:r>
    </w:p>
    <w:p>
      <w:pPr>
        <w:pStyle w:val="ListParagraph"/>
        <w:numPr>
          <w:ilvl w:val="0"/>
          <w:numId w:val="2"/>
        </w:numPr>
        <w:spacing w:before="60" w:after="60"/>
      </w:pPr>
      <w:r>
        <w:rPr>
          <w:rFonts w:ascii="Arial" w:cs="Arial" w:eastAsia="Arial" w:hAnsi="Arial"/>
          <w:sz w:val="20"/>
          <w:szCs w:val="20"/>
        </w:rPr>
        <w:t xml:space="preserve">Confirmed dMMR status by IHC (loss of ≥1 MMR protein: MLH1, MSH2, MSH6, PMS2) AND/OR MSI-H by PCR or NGS (≥30% of tested microsatellite loci showing instability), performed by a CLIA-certified laboratory.</w:t>
      </w:r>
    </w:p>
    <w:p>
      <w:pPr>
        <w:pStyle w:val="ListParagraph"/>
        <w:numPr>
          <w:ilvl w:val="0"/>
          <w:numId w:val="2"/>
        </w:numPr>
        <w:spacing w:before="60" w:after="60"/>
      </w:pPr>
      <w:r>
        <w:rPr>
          <w:rFonts w:ascii="Arial" w:cs="Arial" w:eastAsia="Arial" w:hAnsi="Arial"/>
          <w:sz w:val="20"/>
          <w:szCs w:val="20"/>
        </w:rPr>
        <w:t xml:space="preserve">Measurable disease per RECIST v1.1 (≥1 lesion ≥10 mm in longest diameter by CT/MRI or ≥15 mm for lymph nodes).</w:t>
      </w:r>
    </w:p>
    <w:p>
      <w:pPr>
        <w:pStyle w:val="ListParagraph"/>
        <w:numPr>
          <w:ilvl w:val="0"/>
          <w:numId w:val="2"/>
        </w:numPr>
        <w:spacing w:before="60" w:after="60"/>
      </w:pPr>
      <w:r>
        <w:rPr>
          <w:rFonts w:ascii="Arial" w:cs="Arial" w:eastAsia="Arial" w:hAnsi="Arial"/>
          <w:sz w:val="20"/>
          <w:szCs w:val="20"/>
        </w:rPr>
        <w:t xml:space="preserve">ECOG Performance Status 0–2.</w:t>
      </w:r>
    </w:p>
    <w:p>
      <w:pPr>
        <w:pStyle w:val="ListParagraph"/>
        <w:numPr>
          <w:ilvl w:val="0"/>
          <w:numId w:val="2"/>
        </w:numPr>
        <w:spacing w:before="60" w:after="60"/>
      </w:pPr>
      <w:r>
        <w:rPr>
          <w:rFonts w:ascii="Arial" w:cs="Arial" w:eastAsia="Arial" w:hAnsi="Arial"/>
          <w:sz w:val="20"/>
          <w:szCs w:val="20"/>
        </w:rPr>
        <w:t xml:space="preserve">Life expectancy ≥12 weeks per investigator assessment.</w:t>
      </w:r>
    </w:p>
    <w:p>
      <w:pPr>
        <w:pStyle w:val="ListParagraph"/>
        <w:numPr>
          <w:ilvl w:val="0"/>
          <w:numId w:val="2"/>
        </w:numPr>
        <w:spacing w:before="60" w:after="60"/>
      </w:pPr>
      <w:r>
        <w:rPr>
          <w:rFonts w:ascii="Arial" w:cs="Arial" w:eastAsia="Arial" w:hAnsi="Arial"/>
          <w:sz w:val="20"/>
          <w:szCs w:val="20"/>
        </w:rPr>
        <w:t xml:space="preserve">Refractory to or intolerant of ≥1 prior line of systemic therapy for mCRC (no maximum prior lines).</w:t>
      </w:r>
    </w:p>
    <w:p>
      <w:pPr>
        <w:pStyle w:val="ListParagraph"/>
        <w:numPr>
          <w:ilvl w:val="0"/>
          <w:numId w:val="2"/>
        </w:numPr>
        <w:spacing w:before="60" w:after="60"/>
      </w:pPr>
      <w:r>
        <w:rPr>
          <w:rFonts w:ascii="Arial" w:cs="Arial" w:eastAsia="Arial" w:hAnsi="Arial"/>
          <w:sz w:val="20"/>
          <w:szCs w:val="20"/>
        </w:rPr>
        <w:t xml:space="preserve">Adequate organ function within 14 days prior to first dose: ANC ≥1.5 x 10^9/L; Hgb ≥9 g/dL; Platelets ≥100 x 10^9/L; Creatinine ≤1.5 x ULN or CrCl ≥50 mL/min; AST/ALT ≤2.5 x ULN (≤5 x ULN if hepatic metastases); Total Bilirubin ≤1.5 x ULN (≤3 x ULN if documented Gilbert syndrome).</w:t>
      </w:r>
    </w:p>
    <w:p>
      <w:pPr>
        <w:pStyle w:val="ListParagraph"/>
        <w:numPr>
          <w:ilvl w:val="0"/>
          <w:numId w:val="2"/>
        </w:numPr>
        <w:spacing w:before="60" w:after="60"/>
      </w:pPr>
      <w:r>
        <w:rPr>
          <w:rFonts w:ascii="Arial" w:cs="Arial" w:eastAsia="Arial" w:hAnsi="Arial"/>
          <w:sz w:val="20"/>
          <w:szCs w:val="20"/>
        </w:rPr>
        <w:t xml:space="preserve">Willing to provide archival tumor tissue (FFPE block) and, if accessible, agree to pre- and on-treatment biopsy per protocol (mandatory at sites with biopsy capability).</w:t>
      </w:r>
    </w:p>
    <w:p>
      <w:pPr>
        <w:pStyle w:val="ListParagraph"/>
        <w:numPr>
          <w:ilvl w:val="0"/>
          <w:numId w:val="2"/>
        </w:numPr>
        <w:spacing w:before="60" w:after="60"/>
      </w:pPr>
      <w:r>
        <w:rPr>
          <w:rFonts w:ascii="Arial" w:cs="Arial" w:eastAsia="Arial" w:hAnsi="Arial"/>
          <w:sz w:val="20"/>
          <w:szCs w:val="20"/>
        </w:rPr>
        <w:t xml:space="preserve">Female patients of childbearing potential must have negative serum pregnancy test within 72 hours of first dose and agree to use highly effective contraception during treatment and for 5 months post-last-dose.</w:t>
      </w:r>
    </w:p>
    <w:p>
      <w:pPr>
        <w:pStyle w:val="ListParagraph"/>
        <w:numPr>
          <w:ilvl w:val="0"/>
          <w:numId w:val="2"/>
        </w:numPr>
        <w:spacing w:before="60" w:after="60"/>
      </w:pPr>
      <w:r>
        <w:rPr>
          <w:rFonts w:ascii="Arial" w:cs="Arial" w:eastAsia="Arial" w:hAnsi="Arial"/>
          <w:sz w:val="20"/>
          <w:szCs w:val="20"/>
        </w:rPr>
        <w:t xml:space="preserve">Male patients with female partners of childbearing potential must agree to contraception during treatment and for 7 months post-last-dose.</w:t>
      </w:r>
    </w:p>
    <w:p>
      <w:pPr>
        <w:pStyle w:val="ListParagraph"/>
        <w:numPr>
          <w:ilvl w:val="0"/>
          <w:numId w:val="2"/>
        </w:numPr>
        <w:spacing w:before="60" w:after="60"/>
      </w:pPr>
      <w:r>
        <w:rPr>
          <w:rFonts w:ascii="Arial" w:cs="Arial" w:eastAsia="Arial" w:hAnsi="Arial"/>
          <w:sz w:val="20"/>
          <w:szCs w:val="20"/>
        </w:rPr>
        <w:t xml:space="preserve">Provision of written informed consent prior to any study procedures.</w:t>
      </w:r>
    </w:p>
    <w:p>
      <w:pPr>
        <w:pStyle w:val="Heading2"/>
        <w:spacing w:before="240" w:after="120"/>
      </w:pPr>
      <w:r>
        <w:rPr>
          <w:rFonts w:ascii="Arial" w:cs="Arial" w:eastAsia="Arial" w:hAnsi="Arial"/>
          <w:b/>
          <w:bCs/>
          <w:color w:val="2E75B6"/>
          <w:sz w:val="26"/>
          <w:szCs w:val="26"/>
        </w:rPr>
        <w:t xml:space="preserve">5.2 Exclusion Criteria</w:t>
      </w:r>
    </w:p>
    <w:p>
      <w:pPr>
        <w:spacing w:before="80" w:after="80"/>
      </w:pPr>
      <w:r>
        <w:rPr>
          <w:rFonts w:ascii="Arial" w:cs="Arial" w:eastAsia="Arial" w:hAnsi="Arial"/>
          <w:sz w:val="20"/>
          <w:szCs w:val="20"/>
        </w:rPr>
        <w:t xml:space="preserve">Patients will be excluded if ANY of the following apply:</w:t>
      </w:r>
    </w:p>
    <w:p>
      <w:pPr>
        <w:pStyle w:val="ListParagraph"/>
        <w:numPr>
          <w:ilvl w:val="0"/>
          <w:numId w:val="2"/>
        </w:numPr>
        <w:spacing w:before="60" w:after="60"/>
      </w:pPr>
      <w:r>
        <w:rPr>
          <w:rFonts w:ascii="Arial" w:cs="Arial" w:eastAsia="Arial" w:hAnsi="Arial"/>
          <w:sz w:val="20"/>
          <w:szCs w:val="20"/>
        </w:rPr>
        <w:t xml:space="preserve">Prior treatment with any anti-PD-1, anti-PD-L1, anti-PD-L2, anti-CTLA-4, or other immune checkpoint inhibitory antibody or pathway-targeting agent.</w:t>
      </w:r>
    </w:p>
    <w:p>
      <w:pPr>
        <w:pStyle w:val="ListParagraph"/>
        <w:numPr>
          <w:ilvl w:val="0"/>
          <w:numId w:val="2"/>
        </w:numPr>
        <w:spacing w:before="60" w:after="60"/>
      </w:pPr>
      <w:r>
        <w:rPr>
          <w:rFonts w:ascii="Arial" w:cs="Arial" w:eastAsia="Arial" w:hAnsi="Arial"/>
          <w:sz w:val="20"/>
          <w:szCs w:val="20"/>
        </w:rPr>
        <w:t xml:space="preserve">History of Grade ≥3 immune-mediated adverse event (irAE) with any immunotherapy agent.</w:t>
      </w:r>
    </w:p>
    <w:p>
      <w:pPr>
        <w:pStyle w:val="ListParagraph"/>
        <w:numPr>
          <w:ilvl w:val="0"/>
          <w:numId w:val="2"/>
        </w:numPr>
        <w:spacing w:before="60" w:after="60"/>
      </w:pPr>
      <w:r>
        <w:rPr>
          <w:rFonts w:ascii="Arial" w:cs="Arial" w:eastAsia="Arial" w:hAnsi="Arial"/>
          <w:sz w:val="20"/>
          <w:szCs w:val="20"/>
        </w:rPr>
        <w:t xml:space="preserve">Active, known, or suspected autoimmune disease requiring systemic therapy within 2 years (vitiligo, type 1 diabetes, hypothyroidism on stable replacement, psoriasis not requiring systemic therapy, and Sjögren syndrome without systemic involvement are permitted).</w:t>
      </w:r>
    </w:p>
    <w:p>
      <w:pPr>
        <w:pStyle w:val="ListParagraph"/>
        <w:numPr>
          <w:ilvl w:val="0"/>
          <w:numId w:val="2"/>
        </w:numPr>
        <w:spacing w:before="60" w:after="60"/>
      </w:pPr>
      <w:r>
        <w:rPr>
          <w:rFonts w:ascii="Arial" w:cs="Arial" w:eastAsia="Arial" w:hAnsi="Arial"/>
          <w:sz w:val="20"/>
          <w:szCs w:val="20"/>
        </w:rPr>
        <w:t xml:space="preserve">Condition requiring systemic corticosteroids (&gt;10 mg/day prednisone equivalent) or other immunosuppressive medications within 14 days of first dose; inhaled/topical steroids permitted.</w:t>
      </w:r>
    </w:p>
    <w:p>
      <w:pPr>
        <w:pStyle w:val="ListParagraph"/>
        <w:numPr>
          <w:ilvl w:val="0"/>
          <w:numId w:val="2"/>
        </w:numPr>
        <w:spacing w:before="60" w:after="60"/>
      </w:pPr>
      <w:r>
        <w:rPr>
          <w:rFonts w:ascii="Arial" w:cs="Arial" w:eastAsia="Arial" w:hAnsi="Arial"/>
          <w:sz w:val="20"/>
          <w:szCs w:val="20"/>
        </w:rPr>
        <w:t xml:space="preserve">Active interstitial lung disease, pneumonitis, or history of drug-induced Grade ≥2 pneumonitis.</w:t>
      </w:r>
    </w:p>
    <w:p>
      <w:pPr>
        <w:pStyle w:val="ListParagraph"/>
        <w:numPr>
          <w:ilvl w:val="0"/>
          <w:numId w:val="2"/>
        </w:numPr>
        <w:spacing w:before="60" w:after="60"/>
      </w:pPr>
      <w:r>
        <w:rPr>
          <w:rFonts w:ascii="Arial" w:cs="Arial" w:eastAsia="Arial" w:hAnsi="Arial"/>
          <w:sz w:val="20"/>
          <w:szCs w:val="20"/>
        </w:rPr>
        <w:t xml:space="preserve">Uncontrolled or symptomatic central nervous system (CNS) metastases; patients with stable, previously treated CNS metastases (off corticosteroids ≥4 weeks; no progression on MRI for ≥4 weeks prior to enrollment) are eligible.</w:t>
      </w:r>
    </w:p>
    <w:p>
      <w:pPr>
        <w:pStyle w:val="ListParagraph"/>
        <w:numPr>
          <w:ilvl w:val="0"/>
          <w:numId w:val="2"/>
        </w:numPr>
        <w:spacing w:before="60" w:after="60"/>
      </w:pPr>
      <w:r>
        <w:rPr>
          <w:rFonts w:ascii="Arial" w:cs="Arial" w:eastAsia="Arial" w:hAnsi="Arial"/>
          <w:sz w:val="20"/>
          <w:szCs w:val="20"/>
        </w:rPr>
        <w:t xml:space="preserve">Active or chronic hepatitis B (HBsAg+) or hepatitis C (anti-HCV+ with detectable HCV RNA). Patients with cured HCV (undetectable RNA ≥12 weeks post-EOT) or treated/inactive HBV are permitted with monitoring.</w:t>
      </w:r>
    </w:p>
    <w:p>
      <w:pPr>
        <w:pStyle w:val="ListParagraph"/>
        <w:numPr>
          <w:ilvl w:val="0"/>
          <w:numId w:val="2"/>
        </w:numPr>
        <w:spacing w:before="60" w:after="60"/>
      </w:pPr>
      <w:r>
        <w:rPr>
          <w:rFonts w:ascii="Arial" w:cs="Arial" w:eastAsia="Arial" w:hAnsi="Arial"/>
          <w:sz w:val="20"/>
          <w:szCs w:val="20"/>
        </w:rPr>
        <w:t xml:space="preserve">Known HIV infection with CD4 count &lt;350 cells/mm3 or detectable viral load; patients with controlled HIV (CD4 ≥350, undetectable VL, on stable ART ≥4 weeks) may be enrolled with medical monitor approval.</w:t>
      </w:r>
    </w:p>
    <w:p>
      <w:pPr>
        <w:pStyle w:val="ListParagraph"/>
        <w:numPr>
          <w:ilvl w:val="0"/>
          <w:numId w:val="2"/>
        </w:numPr>
        <w:spacing w:before="60" w:after="60"/>
      </w:pPr>
      <w:r>
        <w:rPr>
          <w:rFonts w:ascii="Arial" w:cs="Arial" w:eastAsia="Arial" w:hAnsi="Arial"/>
          <w:sz w:val="20"/>
          <w:szCs w:val="20"/>
        </w:rPr>
        <w:t xml:space="preserve">Active second malignancy within 3 years, excluding in situ carcinomas, basal or squamous cell skin cancer, or early-stage prostate cancer not requiring systemic treatment.</w:t>
      </w:r>
    </w:p>
    <w:p>
      <w:pPr>
        <w:pStyle w:val="ListParagraph"/>
        <w:numPr>
          <w:ilvl w:val="0"/>
          <w:numId w:val="2"/>
        </w:numPr>
        <w:spacing w:before="60" w:after="60"/>
      </w:pPr>
      <w:r>
        <w:rPr>
          <w:rFonts w:ascii="Arial" w:cs="Arial" w:eastAsia="Arial" w:hAnsi="Arial"/>
          <w:sz w:val="20"/>
          <w:szCs w:val="20"/>
        </w:rPr>
        <w:t xml:space="preserve">Major surgical procedure or significant trauma within 4 weeks of first dose (wound must be fully healed; minor surgical procedures/biopsies are not exclusionary).</w:t>
      </w:r>
    </w:p>
    <w:p>
      <w:pPr>
        <w:pStyle w:val="ListParagraph"/>
        <w:numPr>
          <w:ilvl w:val="0"/>
          <w:numId w:val="2"/>
        </w:numPr>
        <w:spacing w:before="60" w:after="60"/>
      </w:pPr>
      <w:r>
        <w:rPr>
          <w:rFonts w:ascii="Arial" w:cs="Arial" w:eastAsia="Arial" w:hAnsi="Arial"/>
          <w:sz w:val="20"/>
          <w:szCs w:val="20"/>
        </w:rPr>
        <w:t xml:space="preserve">Prior allogeneic stem cell or solid organ transplantation.</w:t>
      </w:r>
    </w:p>
    <w:p>
      <w:pPr>
        <w:pStyle w:val="ListParagraph"/>
        <w:numPr>
          <w:ilvl w:val="0"/>
          <w:numId w:val="2"/>
        </w:numPr>
        <w:spacing w:before="60" w:after="60"/>
      </w:pPr>
      <w:r>
        <w:rPr>
          <w:rFonts w:ascii="Arial" w:cs="Arial" w:eastAsia="Arial" w:hAnsi="Arial"/>
          <w:sz w:val="20"/>
          <w:szCs w:val="20"/>
        </w:rPr>
        <w:t xml:space="preserve">Systemic antineoplastic therapy, radiotherapy, or investigational agent within 4 weeks (or 5 half-lives, whichever is shorter) prior to first dose.</w:t>
      </w:r>
    </w:p>
    <w:p>
      <w:pPr>
        <w:pStyle w:val="ListParagraph"/>
        <w:numPr>
          <w:ilvl w:val="0"/>
          <w:numId w:val="2"/>
        </w:numPr>
        <w:spacing w:before="60" w:after="60"/>
      </w:pPr>
      <w:r>
        <w:rPr>
          <w:rFonts w:ascii="Arial" w:cs="Arial" w:eastAsia="Arial" w:hAnsi="Arial"/>
          <w:sz w:val="20"/>
          <w:szCs w:val="20"/>
        </w:rPr>
        <w:t xml:space="preserve">Known hypersensitivity to any monoclonal antibody or IV formulation components.</w:t>
      </w:r>
    </w:p>
    <w:p>
      <w:pPr>
        <w:pStyle w:val="ListParagraph"/>
        <w:numPr>
          <w:ilvl w:val="0"/>
          <w:numId w:val="2"/>
        </w:numPr>
        <w:spacing w:before="60" w:after="60"/>
      </w:pPr>
      <w:r>
        <w:rPr>
          <w:rFonts w:ascii="Arial" w:cs="Arial" w:eastAsia="Arial" w:hAnsi="Arial"/>
          <w:sz w:val="20"/>
          <w:szCs w:val="20"/>
        </w:rPr>
        <w:t xml:space="preserve">Pregnancy, lactation, or intent to become pregnant during study participation.</w:t>
      </w:r>
    </w:p>
    <w:p>
      <w:pPr>
        <w:pStyle w:val="ListParagraph"/>
        <w:numPr>
          <w:ilvl w:val="0"/>
          <w:numId w:val="2"/>
        </w:numPr>
        <w:spacing w:before="60" w:after="60"/>
      </w:pPr>
      <w:r>
        <w:rPr>
          <w:rFonts w:ascii="Arial" w:cs="Arial" w:eastAsia="Arial" w:hAnsi="Arial"/>
          <w:sz w:val="20"/>
          <w:szCs w:val="20"/>
        </w:rPr>
        <w:t xml:space="preserve">Psychiatric illness, substance abuse disorder, or any other condition that, in the investigator's opinion, would preclude compliance with study procedures or compromise patient safety.</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6. STUDY TREATMENTS</w:t>
      </w:r>
    </w:p>
    <w:p>
      <w:pPr>
        <w:pStyle w:val="Heading2"/>
        <w:spacing w:before="240" w:after="120"/>
      </w:pPr>
      <w:r>
        <w:rPr>
          <w:rFonts w:ascii="Arial" w:cs="Arial" w:eastAsia="Arial" w:hAnsi="Arial"/>
          <w:b/>
          <w:bCs/>
          <w:color w:val="2E75B6"/>
          <w:sz w:val="26"/>
          <w:szCs w:val="26"/>
        </w:rPr>
        <w:t xml:space="preserve">6.1 Investigational Medicinal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Attribute</w:t>
            </w:r>
          </w:p>
        </w:tc>
        <w:tc>
          <w:tcPr>
            <w:tcW w:type="dxa" w:w="65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INN / Proposed Trade Name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Cervimab (proposed); INN pending WHO-INN review</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Drug Class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Immune checkpoint inhibitor; fully humanized IgG4 anti-PD-1 monoclonal antibody</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Formulation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Sterile lyophilized powder; reconstituted to 10 mg/mL in normal saline; further diluted to 2 mg/mL for IV infusion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Route of Administration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Intravenous infusion over 60 minutes (first dose); 30 minutes if no infusion reactions observed in prior cycles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Storage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2–8°C (refrigerated); protect from light; do not freeze reconstituted solution; use within 24 hours of preparation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Preparation</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Prepared by licensed pharmacist or qualified designee per pharmacy manual; dose calculated based on actual body weight (kg) at time of each administration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Accountability</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Drug accountability logs maintained per 21 CFR 312.62; reconciliation at study close-out</w:t>
            </w:r>
          </w:p>
        </w:tc>
      </w:tr>
    </w:tbl>
    <w:p>
      <w:pPr>
        <w:pStyle w:val="Heading2"/>
        <w:spacing w:before="240" w:after="120"/>
      </w:pPr>
      <w:r>
        <w:rPr>
          <w:rFonts w:ascii="Arial" w:cs="Arial" w:eastAsia="Arial" w:hAnsi="Arial"/>
          <w:b/>
          <w:bCs/>
          <w:color w:val="2E75B6"/>
          <w:sz w:val="26"/>
          <w:szCs w:val="26"/>
        </w:rPr>
        <w:t xml:space="preserve">6.2 Pre-medications and Supportive Care</w:t>
      </w:r>
    </w:p>
    <w:p>
      <w:pPr>
        <w:spacing w:before="80" w:after="80"/>
      </w:pPr>
      <w:r>
        <w:rPr>
          <w:rFonts w:ascii="Arial" w:cs="Arial" w:eastAsia="Arial" w:hAnsi="Arial"/>
          <w:sz w:val="20"/>
          <w:szCs w:val="20"/>
        </w:rPr>
        <w:t xml:space="preserve">Routine pre-medication prior to Cervimab infusion is NOT required. In the event of Grade 1–2 infusion reaction, the infusion should be slowed or temporarily interrupted. For recurrent Grade 1–2 or first Grade 2 infusion reactions, prophylactic antihistamine (diphenhydramine 25–50 mg IV) and/or acetaminophen 650 mg PO may be administered 30 minutes prior to subsequent infusions. Grade 3 infusion reactions require permanent discontinuation.</w:t>
      </w:r>
    </w:p>
    <w:p>
      <w:pPr>
        <w:pStyle w:val="Heading2"/>
        <w:spacing w:before="240" w:after="120"/>
      </w:pPr>
      <w:r>
        <w:rPr>
          <w:rFonts w:ascii="Arial" w:cs="Arial" w:eastAsia="Arial" w:hAnsi="Arial"/>
          <w:b/>
          <w:bCs/>
          <w:color w:val="2E75B6"/>
          <w:sz w:val="26"/>
          <w:szCs w:val="26"/>
        </w:rPr>
        <w:t xml:space="preserve">6.3 Prohibited Concomitant Medications</w:t>
      </w:r>
    </w:p>
    <w:p>
      <w:pPr>
        <w:pStyle w:val="ListParagraph"/>
        <w:numPr>
          <w:ilvl w:val="0"/>
          <w:numId w:val="2"/>
        </w:numPr>
        <w:spacing w:before="60" w:after="60"/>
      </w:pPr>
      <w:r>
        <w:rPr>
          <w:rFonts w:ascii="Arial" w:cs="Arial" w:eastAsia="Arial" w:hAnsi="Arial"/>
          <w:sz w:val="20"/>
          <w:szCs w:val="20"/>
        </w:rPr>
        <w:t xml:space="preserve">Any other anti-cancer agent, immunotherapy, investigational drug, or biologic during the treatment period.</w:t>
      </w:r>
    </w:p>
    <w:p>
      <w:pPr>
        <w:pStyle w:val="ListParagraph"/>
        <w:numPr>
          <w:ilvl w:val="0"/>
          <w:numId w:val="2"/>
        </w:numPr>
        <w:spacing w:before="60" w:after="60"/>
      </w:pPr>
      <w:r>
        <w:rPr>
          <w:rFonts w:ascii="Arial" w:cs="Arial" w:eastAsia="Arial" w:hAnsi="Arial"/>
          <w:sz w:val="20"/>
          <w:szCs w:val="20"/>
        </w:rPr>
        <w:t xml:space="preserve">Systemic corticosteroids &gt;10 mg/day prednisone equivalent (except as indicated for irAE management per Section 8).</w:t>
      </w:r>
    </w:p>
    <w:p>
      <w:pPr>
        <w:pStyle w:val="ListParagraph"/>
        <w:numPr>
          <w:ilvl w:val="0"/>
          <w:numId w:val="2"/>
        </w:numPr>
        <w:spacing w:before="60" w:after="60"/>
      </w:pPr>
      <w:r>
        <w:rPr>
          <w:rFonts w:ascii="Arial" w:cs="Arial" w:eastAsia="Arial" w:hAnsi="Arial"/>
          <w:sz w:val="20"/>
          <w:szCs w:val="20"/>
        </w:rPr>
        <w:t xml:space="preserve">Live attenuated vaccines within 30 days prior to or during study treatment.</w:t>
      </w:r>
    </w:p>
    <w:p>
      <w:pPr>
        <w:pStyle w:val="ListParagraph"/>
        <w:numPr>
          <w:ilvl w:val="0"/>
          <w:numId w:val="2"/>
        </w:numPr>
        <w:spacing w:before="60" w:after="60"/>
      </w:pPr>
      <w:r>
        <w:rPr>
          <w:rFonts w:ascii="Arial" w:cs="Arial" w:eastAsia="Arial" w:hAnsi="Arial"/>
          <w:sz w:val="20"/>
          <w:szCs w:val="20"/>
        </w:rPr>
        <w:t xml:space="preserve">Strong CYP3A4 inducers or inhibitors are not expected to affect the PK of Cervimab but should be documented.</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7. PHARMACOKINETIC AND PHARMACODYNAMIC ASSESSMENTS</w:t>
      </w:r>
    </w:p>
    <w:p>
      <w:pPr>
        <w:pStyle w:val="Heading2"/>
        <w:spacing w:before="240" w:after="120"/>
      </w:pPr>
      <w:r>
        <w:rPr>
          <w:rFonts w:ascii="Arial" w:cs="Arial" w:eastAsia="Arial" w:hAnsi="Arial"/>
          <w:b/>
          <w:bCs/>
          <w:color w:val="2E75B6"/>
          <w:sz w:val="26"/>
          <w:szCs w:val="26"/>
        </w:rPr>
        <w:t xml:space="preserve">7.1 Pharmacokinetic Sample Collection — Part A (SAD)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Timepoint</w:t>
            </w:r>
          </w:p>
        </w:tc>
        <w:tc>
          <w:tcPr>
            <w:tcW w:type="dxa" w:w="5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Samples</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Day 1: Pre-infusion (within 30 min of start)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 (4 mL): PK trough</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Day 1: End of infusion (within 5 min of completion)</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 Cmax estimation</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Day 1: 1, 2, 4, 8, and 24 hours post-infusion start</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 Distribution phase characterization</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Day 3, Day 7, Day 14, Day 21, Day 28 (DLT window end)</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 Elimination phase / t1/2 determination</w:t>
            </w:r>
          </w:p>
        </w:tc>
      </w:tr>
      <w:tr>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Day 42, Day 56 (extended follow-up at top doses only)</w:t>
            </w:r>
          </w:p>
        </w:tc>
        <w:tc>
          <w:tcPr>
            <w:tcW w:type="dxa" w:w="5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 Terminal phase at Cohorts A4–A6</w:t>
            </w:r>
          </w:p>
        </w:tc>
      </w:tr>
    </w:tbl>
    <w:p>
      <w:pPr>
        <w:pStyle w:val="Heading2"/>
        <w:spacing w:before="240" w:after="120"/>
      </w:pPr>
      <w:r>
        <w:rPr>
          <w:rFonts w:ascii="Arial" w:cs="Arial" w:eastAsia="Arial" w:hAnsi="Arial"/>
          <w:b/>
          <w:bCs/>
          <w:color w:val="2E75B6"/>
          <w:sz w:val="26"/>
          <w:szCs w:val="26"/>
        </w:rPr>
        <w:t xml:space="preserve">7.2 Pharmacokinetic Sample Collection — Part B (MAD)</w:t>
      </w:r>
    </w:p>
    <w:p>
      <w:pPr>
        <w:spacing w:before="80" w:after="80"/>
      </w:pPr>
      <w:r>
        <w:rPr>
          <w:rFonts w:ascii="Arial" w:cs="Arial" w:eastAsia="Arial" w:hAnsi="Arial"/>
          <w:sz w:val="20"/>
          <w:szCs w:val="20"/>
        </w:rPr>
        <w:t xml:space="preserve">Dense PK sampling performed at Cycle 1 (as above) and Cycle 4 (pre-dose, EOI, 1h, 4h, 24h post-dose). Trough samples (pre-dose) collected at all subsequent cycles. PK parameters calculated using non-compartmental analysis (NCA). Population PK modeling performed across all data.</w:t>
      </w:r>
    </w:p>
    <w:p>
      <w:pPr>
        <w:pStyle w:val="Heading2"/>
        <w:spacing w:before="240" w:after="120"/>
      </w:pPr>
      <w:r>
        <w:rPr>
          <w:rFonts w:ascii="Arial" w:cs="Arial" w:eastAsia="Arial" w:hAnsi="Arial"/>
          <w:b/>
          <w:bCs/>
          <w:color w:val="2E75B6"/>
          <w:sz w:val="26"/>
          <w:szCs w:val="26"/>
        </w:rPr>
        <w:t xml:space="preserve">7.3 Pharmacodynamic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Biomarker</w:t>
            </w:r>
          </w:p>
        </w:tc>
        <w:tc>
          <w:tcPr>
            <w:tcW w:type="dxa" w:w="3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Specimen</w:t>
            </w:r>
          </w:p>
        </w:tc>
        <w:tc>
          <w:tcPr>
            <w:tcW w:type="dxa" w:w="3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Timepoints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PD-1 Receptor Occupancy (flow cytometry)</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Peripheral blood (PBMC)</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Pre-dose, EOI, 24h, 72h, Day 7, Day 14, Day 28 (Part A); Pre-dose C1D1, C2D1, C3D1, C4D1 (Part B)</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ADA / Neutralizing Antibody Titer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Pre-dose, Day 28, Day 56, 90-day follow-up</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Tumor Immune Infiltrate (CD8, PD-L1 CPS by IHC)</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FFPE tumor biopsy (archival + on-treatment)</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(archival) + C2D1 (on-treatment biopsy, optional)</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Cytokine Panel (IFN-g, IL-2, IL-6, TNF-a)</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Serum</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Pre-dose, EOI, 4h, 24h, Day 7, Day 28 (Part A); Pre-dose C1D1 and C2D1 (Part B)</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ctDNA (MSI/TMB quantification by NGS)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Plasma (cfDNA)</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Baseline, C2D1, C4D1, end-of-treatment, 90-day follow-up (Part B)</w:t>
            </w:r>
          </w:p>
        </w:tc>
      </w:tr>
    </w:tbl>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8. SAFETY MONITORING AND ADVERSE EVENT MANAGEMENT</w:t>
      </w:r>
    </w:p>
    <w:p>
      <w:pPr>
        <w:pStyle w:val="Heading2"/>
        <w:spacing w:before="240" w:after="120"/>
      </w:pPr>
      <w:r>
        <w:rPr>
          <w:rFonts w:ascii="Arial" w:cs="Arial" w:eastAsia="Arial" w:hAnsi="Arial"/>
          <w:b/>
          <w:bCs/>
          <w:color w:val="2E75B6"/>
          <w:sz w:val="26"/>
          <w:szCs w:val="26"/>
        </w:rPr>
        <w:t xml:space="preserve">8.1 Definitions</w:t>
      </w:r>
    </w:p>
    <w:p>
      <w:pPr>
        <w:spacing w:before="60" w:after="60"/>
      </w:pPr>
      <w:r>
        <w:rPr>
          <w:rFonts w:ascii="Arial" w:cs="Arial" w:eastAsia="Arial" w:hAnsi="Arial"/>
          <w:b/>
          <w:bCs/>
          <w:sz w:val="20"/>
          <w:szCs w:val="20"/>
        </w:rPr>
        <w:t xml:space="preserve">Adverse Event (AE): </w:t>
      </w:r>
      <w:r>
        <w:rPr>
          <w:rFonts w:ascii="Arial" w:cs="Arial" w:eastAsia="Arial" w:hAnsi="Arial"/>
          <w:sz w:val="20"/>
          <w:szCs w:val="20"/>
        </w:rPr>
        <w:t xml:space="preserve">Any untoward medical occurrence in a clinical trial participant administered a medicinal product, regardless of causal relationship (ICH E2A).</w:t>
      </w:r>
    </w:p>
    <w:p>
      <w:pPr>
        <w:spacing w:before="60" w:after="60"/>
      </w:pPr>
      <w:r>
        <w:rPr>
          <w:rFonts w:ascii="Arial" w:cs="Arial" w:eastAsia="Arial" w:hAnsi="Arial"/>
          <w:b/>
          <w:bCs/>
          <w:sz w:val="20"/>
          <w:szCs w:val="20"/>
        </w:rPr>
        <w:t xml:space="preserve">Serious Adverse Event (SAE): </w:t>
      </w:r>
      <w:r>
        <w:rPr>
          <w:rFonts w:ascii="Arial" w:cs="Arial" w:eastAsia="Arial" w:hAnsi="Arial"/>
          <w:sz w:val="20"/>
          <w:szCs w:val="20"/>
        </w:rPr>
        <w:t xml:space="preserve">Any AE meeting any of the following: death, life-threatening event, hospitalization or prolonged hospitalization, persistent significant disability/incapacity, congenital anomaly/birth defect, or any other medically important event.</w:t>
      </w:r>
    </w:p>
    <w:p>
      <w:pPr>
        <w:spacing w:before="60" w:after="60"/>
      </w:pPr>
      <w:r>
        <w:rPr>
          <w:rFonts w:ascii="Arial" w:cs="Arial" w:eastAsia="Arial" w:hAnsi="Arial"/>
          <w:b/>
          <w:bCs/>
          <w:sz w:val="20"/>
          <w:szCs w:val="20"/>
        </w:rPr>
        <w:t xml:space="preserve">Dose-Limiting Toxicity (DLT): </w:t>
      </w:r>
      <w:r>
        <w:rPr>
          <w:rFonts w:ascii="Arial" w:cs="Arial" w:eastAsia="Arial" w:hAnsi="Arial"/>
          <w:sz w:val="20"/>
          <w:szCs w:val="20"/>
        </w:rPr>
        <w:t xml:space="preserve">A drug-related adverse event meeting pre-specified criteria within the DLT assessment window (see Section 8.2).</w:t>
      </w:r>
    </w:p>
    <w:p>
      <w:pPr>
        <w:spacing w:before="60" w:after="60"/>
      </w:pPr>
      <w:r>
        <w:rPr>
          <w:rFonts w:ascii="Arial" w:cs="Arial" w:eastAsia="Arial" w:hAnsi="Arial"/>
          <w:b/>
          <w:bCs/>
          <w:sz w:val="20"/>
          <w:szCs w:val="20"/>
        </w:rPr>
        <w:t xml:space="preserve">Suspected Unexpected Serious Adverse Reaction (SUSAR): </w:t>
      </w:r>
      <w:r>
        <w:rPr>
          <w:rFonts w:ascii="Arial" w:cs="Arial" w:eastAsia="Arial" w:hAnsi="Arial"/>
          <w:sz w:val="20"/>
          <w:szCs w:val="20"/>
        </w:rPr>
        <w:t xml:space="preserve">An SAE that is unexpected per the IB and suspected to be related to Cervimab. Expedited reporting to FDA per 21 CFR 312.32.</w:t>
      </w:r>
    </w:p>
    <w:p>
      <w:pPr>
        <w:pStyle w:val="Heading2"/>
        <w:spacing w:before="240" w:after="120"/>
      </w:pPr>
      <w:r>
        <w:rPr>
          <w:rFonts w:ascii="Arial" w:cs="Arial" w:eastAsia="Arial" w:hAnsi="Arial"/>
          <w:b/>
          <w:bCs/>
          <w:color w:val="2E75B6"/>
          <w:sz w:val="26"/>
          <w:szCs w:val="26"/>
        </w:rPr>
        <w:t xml:space="preserve">8.2 Dose-Limiting Toxicity Criteria</w:t>
      </w:r>
    </w:p>
    <w:p>
      <w:pPr>
        <w:spacing w:before="80" w:after="80"/>
      </w:pPr>
      <w:r>
        <w:rPr>
          <w:rFonts w:ascii="Arial" w:cs="Arial" w:eastAsia="Arial" w:hAnsi="Arial"/>
          <w:sz w:val="20"/>
          <w:szCs w:val="20"/>
        </w:rPr>
        <w:t xml:space="preserve">A DLT is defined as any of the following events occurring within the DLT assessment window (28 days post-dose for Part A; Cycle 1 for Part B) that is assessed as related (possibly, probably, or definitely) to Cervimab, per NCI CTCAE v5.0:</w:t>
      </w:r>
    </w:p>
    <w:p>
      <w:pPr>
        <w:pStyle w:val="ListParagraph"/>
        <w:numPr>
          <w:ilvl w:val="0"/>
          <w:numId w:val="2"/>
        </w:numPr>
        <w:spacing w:before="60" w:after="60"/>
      </w:pPr>
      <w:r>
        <w:rPr>
          <w:rFonts w:ascii="Arial" w:cs="Arial" w:eastAsia="Arial" w:hAnsi="Arial"/>
          <w:sz w:val="20"/>
          <w:szCs w:val="20"/>
        </w:rPr>
        <w:t xml:space="preserve">Any Grade ≥4 hematologic toxicity lasting &gt;7 days (except lymphopenia without clinical consequence).</w:t>
      </w:r>
    </w:p>
    <w:p>
      <w:pPr>
        <w:pStyle w:val="ListParagraph"/>
        <w:numPr>
          <w:ilvl w:val="0"/>
          <w:numId w:val="2"/>
        </w:numPr>
        <w:spacing w:before="60" w:after="60"/>
      </w:pPr>
      <w:r>
        <w:rPr>
          <w:rFonts w:ascii="Arial" w:cs="Arial" w:eastAsia="Arial" w:hAnsi="Arial"/>
          <w:sz w:val="20"/>
          <w:szCs w:val="20"/>
        </w:rPr>
        <w:t xml:space="preserve">Any Grade ≥3 non-hematologic toxicity lasting &gt;3 days (Grade 3 nausea/vomiting/diarrhea adequately controlled with standard antiemetic/antidiarrheal therapy within 72 hours is NOT a DLT).</w:t>
      </w:r>
    </w:p>
    <w:p>
      <w:pPr>
        <w:pStyle w:val="ListParagraph"/>
        <w:numPr>
          <w:ilvl w:val="0"/>
          <w:numId w:val="2"/>
        </w:numPr>
        <w:spacing w:before="60" w:after="60"/>
      </w:pPr>
      <w:r>
        <w:rPr>
          <w:rFonts w:ascii="Arial" w:cs="Arial" w:eastAsia="Arial" w:hAnsi="Arial"/>
          <w:sz w:val="20"/>
          <w:szCs w:val="20"/>
        </w:rPr>
        <w:t xml:space="preserve">Grade 3 immune-mediated toxicity (colitis, hepatitis, pneumonitis, nephritis, endocrinopathy) not resolving to ≤Grade 1 within 14 days despite high-dose corticosteroids per institutional irAE protocols.</w:t>
      </w:r>
    </w:p>
    <w:p>
      <w:pPr>
        <w:pStyle w:val="ListParagraph"/>
        <w:numPr>
          <w:ilvl w:val="0"/>
          <w:numId w:val="2"/>
        </w:numPr>
        <w:spacing w:before="60" w:after="60"/>
      </w:pPr>
      <w:r>
        <w:rPr>
          <w:rFonts w:ascii="Arial" w:cs="Arial" w:eastAsia="Arial" w:hAnsi="Arial"/>
          <w:sz w:val="20"/>
          <w:szCs w:val="20"/>
        </w:rPr>
        <w:t xml:space="preserve">Any Grade ≥4 immune-mediated adverse event.</w:t>
      </w:r>
    </w:p>
    <w:p>
      <w:pPr>
        <w:pStyle w:val="ListParagraph"/>
        <w:numPr>
          <w:ilvl w:val="0"/>
          <w:numId w:val="2"/>
        </w:numPr>
        <w:spacing w:before="60" w:after="60"/>
      </w:pPr>
      <w:r>
        <w:rPr>
          <w:rFonts w:ascii="Arial" w:cs="Arial" w:eastAsia="Arial" w:hAnsi="Arial"/>
          <w:sz w:val="20"/>
          <w:szCs w:val="20"/>
        </w:rPr>
        <w:t xml:space="preserve">Any Grade 3 infusion-related reaction.</w:t>
      </w:r>
    </w:p>
    <w:p>
      <w:pPr>
        <w:pStyle w:val="ListParagraph"/>
        <w:numPr>
          <w:ilvl w:val="0"/>
          <w:numId w:val="2"/>
        </w:numPr>
        <w:spacing w:before="60" w:after="60"/>
      </w:pPr>
      <w:r>
        <w:rPr>
          <w:rFonts w:ascii="Arial" w:cs="Arial" w:eastAsia="Arial" w:hAnsi="Arial"/>
          <w:sz w:val="20"/>
          <w:szCs w:val="20"/>
        </w:rPr>
        <w:t xml:space="preserve">Any Grade ≥3 elevation of AST/ALT (&gt;5 x ULN) or bilirubin (&gt;3 x ULN) possibly related to drug.</w:t>
      </w:r>
    </w:p>
    <w:p>
      <w:pPr>
        <w:pStyle w:val="ListParagraph"/>
        <w:numPr>
          <w:ilvl w:val="0"/>
          <w:numId w:val="2"/>
        </w:numPr>
        <w:spacing w:before="60" w:after="60"/>
      </w:pPr>
      <w:r>
        <w:rPr>
          <w:rFonts w:ascii="Arial" w:cs="Arial" w:eastAsia="Arial" w:hAnsi="Arial"/>
          <w:sz w:val="20"/>
          <w:szCs w:val="20"/>
        </w:rPr>
        <w:t xml:space="preserve">Any other Grade ≥3 toxicity that is clinically significant in the medical judgment of the investigator and Sponsor medical monitor.</w:t>
      </w:r>
    </w:p>
    <w:p>
      <w:pPr>
        <w:pStyle w:val="ListParagraph"/>
        <w:numPr>
          <w:ilvl w:val="0"/>
          <w:numId w:val="2"/>
        </w:numPr>
        <w:spacing w:before="60" w:after="60"/>
      </w:pPr>
      <w:r>
        <w:rPr>
          <w:rFonts w:ascii="Arial" w:cs="Arial" w:eastAsia="Arial" w:hAnsi="Arial"/>
          <w:sz w:val="20"/>
          <w:szCs w:val="20"/>
        </w:rPr>
        <w:t xml:space="preserve">Any toxicity resulting in &gt;21-day delay of the next scheduled dose (Part B only).</w:t>
      </w:r>
    </w:p>
    <w:p>
      <w:pPr>
        <w:pStyle w:val="Heading2"/>
        <w:spacing w:before="240" w:after="120"/>
      </w:pPr>
      <w:r>
        <w:rPr>
          <w:rFonts w:ascii="Arial" w:cs="Arial" w:eastAsia="Arial" w:hAnsi="Arial"/>
          <w:b/>
          <w:bCs/>
          <w:color w:val="2E75B6"/>
          <w:sz w:val="26"/>
          <w:szCs w:val="26"/>
        </w:rPr>
        <w:t xml:space="preserve">8.3 irAE Management Algorithm</w:t>
      </w:r>
    </w:p>
    <w:p>
      <w:pPr>
        <w:spacing w:before="80" w:after="80"/>
      </w:pPr>
      <w:r>
        <w:rPr>
          <w:rFonts w:ascii="Arial" w:cs="Arial" w:eastAsia="Arial" w:hAnsi="Arial"/>
          <w:sz w:val="20"/>
          <w:szCs w:val="20"/>
        </w:rPr>
        <w:t xml:space="preserve">Immune-mediated adverse events (irAEs) are managed per the ASCO Clinical Practice Guideline on Management of Immune-Related Adverse Events in Patients Treated with Immune Checkpoint Inhibitor Therapy (2021 update) and per site-specific treatment guidelines. General principles:</w:t>
      </w:r>
    </w:p>
    <w:p>
      <w:pPr>
        <w:pStyle w:val="ListParagraph"/>
        <w:numPr>
          <w:ilvl w:val="0"/>
          <w:numId w:val="2"/>
        </w:numPr>
        <w:spacing w:before="60" w:after="60"/>
      </w:pPr>
      <w:r>
        <w:rPr>
          <w:rFonts w:ascii="Arial" w:cs="Arial" w:eastAsia="Arial" w:hAnsi="Arial"/>
          <w:sz w:val="20"/>
          <w:szCs w:val="20"/>
        </w:rPr>
        <w:t xml:space="preserve">Grade 1: Continue Cervimab with close monitoring; symptomatic management. Endocrinopathies require hormone replacement.</w:t>
      </w:r>
    </w:p>
    <w:p>
      <w:pPr>
        <w:pStyle w:val="ListParagraph"/>
        <w:numPr>
          <w:ilvl w:val="0"/>
          <w:numId w:val="2"/>
        </w:numPr>
        <w:spacing w:before="60" w:after="60"/>
      </w:pPr>
      <w:r>
        <w:rPr>
          <w:rFonts w:ascii="Arial" w:cs="Arial" w:eastAsia="Arial" w:hAnsi="Arial"/>
          <w:sz w:val="20"/>
          <w:szCs w:val="20"/>
        </w:rPr>
        <w:t xml:space="preserve">Grade 2: Withhold Cervimab; initiate oral prednisone 0.5–1 mg/kg/day (or equivalent); resume when resolved to ≤Grade 1 and steroids tapered to ≤10 mg/day. Withhold if not resolved within 6 weeks.</w:t>
      </w:r>
    </w:p>
    <w:p>
      <w:pPr>
        <w:pStyle w:val="ListParagraph"/>
        <w:numPr>
          <w:ilvl w:val="0"/>
          <w:numId w:val="2"/>
        </w:numPr>
        <w:spacing w:before="60" w:after="60"/>
      </w:pPr>
      <w:r>
        <w:rPr>
          <w:rFonts w:ascii="Arial" w:cs="Arial" w:eastAsia="Arial" w:hAnsi="Arial"/>
          <w:sz w:val="20"/>
          <w:szCs w:val="20"/>
        </w:rPr>
        <w:t xml:space="preserve">Grade 3: Discontinue Cervimab; initiate methylprednisolone 1–2 mg/kg/day IV; if no improvement in 48 hours, consider additional immunosuppression (infliximab, mycophenolate mofetil) per organ-specific protocols.</w:t>
      </w:r>
    </w:p>
    <w:p>
      <w:pPr>
        <w:pStyle w:val="ListParagraph"/>
        <w:numPr>
          <w:ilvl w:val="0"/>
          <w:numId w:val="2"/>
        </w:numPr>
        <w:spacing w:before="60" w:after="60"/>
      </w:pPr>
      <w:r>
        <w:rPr>
          <w:rFonts w:ascii="Arial" w:cs="Arial" w:eastAsia="Arial" w:hAnsi="Arial"/>
          <w:sz w:val="20"/>
          <w:szCs w:val="20"/>
        </w:rPr>
        <w:t xml:space="preserve">Grade 4: Permanently discontinue Cervimab; high-dose IV corticosteroids; multidisciplinary subspecialty consultation.</w:t>
      </w:r>
    </w:p>
    <w:p>
      <w:pPr>
        <w:pStyle w:val="Heading2"/>
        <w:spacing w:before="240" w:after="120"/>
      </w:pPr>
      <w:r>
        <w:rPr>
          <w:rFonts w:ascii="Arial" w:cs="Arial" w:eastAsia="Arial" w:hAnsi="Arial"/>
          <w:b/>
          <w:bCs/>
          <w:color w:val="2E75B6"/>
          <w:sz w:val="26"/>
          <w:szCs w:val="26"/>
        </w:rPr>
        <w:t xml:space="preserve">8.4 SAE Reporting</w:t>
      </w:r>
    </w:p>
    <w:p>
      <w:pPr>
        <w:spacing w:before="80" w:after="80"/>
      </w:pPr>
      <w:r>
        <w:rPr>
          <w:rFonts w:ascii="Arial" w:cs="Arial" w:eastAsia="Arial" w:hAnsi="Arial"/>
          <w:sz w:val="20"/>
          <w:szCs w:val="20"/>
        </w:rPr>
        <w:t xml:space="preserve">All SAEs and SUSARs are reported within 24 hours of investigator awareness to the Sponsor Safety Team. Fatal or life-threatening SUSARs are reported to FDA within 7 calendar days (21 CFR 312.32). Non-fatal/non-life-threatening SUSARs are reported within 15 calendar days. Annual IND safety reports submitted per 21 CFR 312.33.</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9. STATISTICAL CONSIDERATIONS</w:t>
      </w:r>
    </w:p>
    <w:p>
      <w:pPr>
        <w:pStyle w:val="Heading2"/>
        <w:spacing w:before="240" w:after="120"/>
      </w:pPr>
      <w:r>
        <w:rPr>
          <w:rFonts w:ascii="Arial" w:cs="Arial" w:eastAsia="Arial" w:hAnsi="Arial"/>
          <w:b/>
          <w:bCs/>
          <w:color w:val="2E75B6"/>
          <w:sz w:val="26"/>
          <w:szCs w:val="26"/>
        </w:rPr>
        <w:t xml:space="preserve">9.1 Sample Size</w:t>
      </w:r>
    </w:p>
    <w:p>
      <w:pPr>
        <w:spacing w:before="80" w:after="80"/>
      </w:pPr>
      <w:r>
        <w:rPr>
          <w:rFonts w:ascii="Arial" w:cs="Arial" w:eastAsia="Arial" w:hAnsi="Arial"/>
          <w:sz w:val="20"/>
          <w:szCs w:val="20"/>
        </w:rPr>
        <w:t xml:space="preserve">The study is not powered for statistical hypothesis testing; sample sizes are based on the standard 3+3 dose-escalation design. Part A anticipates enrollment of 3–6 patients per cohort across up to 6 dose levels (maximum 36 patients). Part B anticipates 3–6 patients per cohort across 3 dose levels (maximum 18 patients). Total planned enrollment: approximately 54 patients.</w:t>
      </w:r>
    </w:p>
    <w:p>
      <w:pPr>
        <w:pStyle w:val="Heading2"/>
        <w:spacing w:before="240" w:after="120"/>
      </w:pPr>
      <w:r>
        <w:rPr>
          <w:rFonts w:ascii="Arial" w:cs="Arial" w:eastAsia="Arial" w:hAnsi="Arial"/>
          <w:b/>
          <w:bCs/>
          <w:color w:val="2E75B6"/>
          <w:sz w:val="26"/>
          <w:szCs w:val="26"/>
        </w:rPr>
        <w:t xml:space="preserve">9.2 Safety Analysis</w:t>
      </w:r>
    </w:p>
    <w:p>
      <w:pPr>
        <w:spacing w:before="80" w:after="80"/>
      </w:pPr>
      <w:r>
        <w:rPr>
          <w:rFonts w:ascii="Arial" w:cs="Arial" w:eastAsia="Arial" w:hAnsi="Arial"/>
          <w:sz w:val="20"/>
          <w:szCs w:val="20"/>
        </w:rPr>
        <w:t xml:space="preserve">All patients receiving at least one dose of Cervimab will be included in the safety-evaluable population. AEs will be coded using MedDRA (current version) and graded by NCI CTCAE v5.0. Incidence of AEs, SAEs, DLTs, and treatment discontinuations due to AEs will be summarized by system organ class, preferred term, and maximum grade using frequency tables. No formal statistical comparisons will be performed.</w:t>
      </w:r>
    </w:p>
    <w:p>
      <w:pPr>
        <w:pStyle w:val="Heading2"/>
        <w:spacing w:before="240" w:after="120"/>
      </w:pPr>
      <w:r>
        <w:rPr>
          <w:rFonts w:ascii="Arial" w:cs="Arial" w:eastAsia="Arial" w:hAnsi="Arial"/>
          <w:b/>
          <w:bCs/>
          <w:color w:val="2E75B6"/>
          <w:sz w:val="26"/>
          <w:szCs w:val="26"/>
        </w:rPr>
        <w:t xml:space="preserve">9.3 PK Analysis</w:t>
      </w:r>
    </w:p>
    <w:p>
      <w:pPr>
        <w:spacing w:before="80" w:after="80"/>
      </w:pPr>
      <w:r>
        <w:rPr>
          <w:rFonts w:ascii="Arial" w:cs="Arial" w:eastAsia="Arial" w:hAnsi="Arial"/>
          <w:sz w:val="20"/>
          <w:szCs w:val="20"/>
        </w:rPr>
        <w:t xml:space="preserve">PK parameters will be calculated by NCA using Phoenix WinNonlin or equivalent validated software. Descriptive statistics (n, mean, SD, CV%, geometric mean, median, min, max) will be presented by cohort. Dose proportionality will be assessed by power model analysis (Cmax and AUC vs. dose). Population PK (popPK) modeling will be conducted using NONMEM to characterize inter- and intra-individual variability and to support exposure-response analyses.</w:t>
      </w:r>
    </w:p>
    <w:p>
      <w:pPr>
        <w:pStyle w:val="Heading2"/>
        <w:spacing w:before="240" w:after="120"/>
      </w:pPr>
      <w:r>
        <w:rPr>
          <w:rFonts w:ascii="Arial" w:cs="Arial" w:eastAsia="Arial" w:hAnsi="Arial"/>
          <w:b/>
          <w:bCs/>
          <w:color w:val="2E75B6"/>
          <w:sz w:val="26"/>
          <w:szCs w:val="26"/>
        </w:rPr>
        <w:t xml:space="preserve">9.4 Interim Analyses</w:t>
      </w:r>
    </w:p>
    <w:p>
      <w:pPr>
        <w:spacing w:before="80" w:after="80"/>
      </w:pPr>
      <w:r>
        <w:rPr>
          <w:rFonts w:ascii="Arial" w:cs="Arial" w:eastAsia="Arial" w:hAnsi="Arial"/>
          <w:sz w:val="20"/>
          <w:szCs w:val="20"/>
        </w:rPr>
        <w:t xml:space="preserve">The DSMB will conduct ongoing reviews of cumulative safety data following completion of each cohort DLT assessment window. Formal interim analyses are not planned; the DSMB may recommend study modifications or termination at any time based on safety signals (see DSMB Charter, separate document).</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10. ETHICAL CONSIDERATIONS AND REGULATORY COMPLIANCE</w:t>
      </w:r>
    </w:p>
    <w:p>
      <w:pPr>
        <w:pStyle w:val="Heading2"/>
        <w:spacing w:before="240" w:after="120"/>
      </w:pPr>
      <w:r>
        <w:rPr>
          <w:rFonts w:ascii="Arial" w:cs="Arial" w:eastAsia="Arial" w:hAnsi="Arial"/>
          <w:b/>
          <w:bCs/>
          <w:color w:val="2E75B6"/>
          <w:sz w:val="26"/>
          <w:szCs w:val="26"/>
        </w:rPr>
        <w:t xml:space="preserve">10.1 Informed Consent</w:t>
      </w:r>
    </w:p>
    <w:p>
      <w:pPr>
        <w:spacing w:before="80" w:after="80"/>
      </w:pPr>
      <w:r>
        <w:rPr>
          <w:rFonts w:ascii="Arial" w:cs="Arial" w:eastAsia="Arial" w:hAnsi="Arial"/>
          <w:sz w:val="20"/>
          <w:szCs w:val="20"/>
        </w:rPr>
        <w:t xml:space="preserve">The Informed Consent Form (ICF) will be approved by the Institutional Review Board (IRB) / Independent Ethics Committee (IEC) prior to patient enrollment per 21 CFR Part 50. The process will include adequate time for participants to consider participation, ask questions, and consult with family members or personal physicians. Re-consent will be obtained for protocol amendments that may affect patient rights, safety, or willingness to participate.</w:t>
      </w:r>
    </w:p>
    <w:p>
      <w:pPr>
        <w:pStyle w:val="Heading2"/>
        <w:spacing w:before="240" w:after="120"/>
      </w:pPr>
      <w:r>
        <w:rPr>
          <w:rFonts w:ascii="Arial" w:cs="Arial" w:eastAsia="Arial" w:hAnsi="Arial"/>
          <w:b/>
          <w:bCs/>
          <w:color w:val="2E75B6"/>
          <w:sz w:val="26"/>
          <w:szCs w:val="26"/>
        </w:rPr>
        <w:t xml:space="preserve">10.2 IRB/IEC Review</w:t>
      </w:r>
    </w:p>
    <w:p>
      <w:pPr>
        <w:spacing w:before="80" w:after="80"/>
      </w:pPr>
      <w:r>
        <w:rPr>
          <w:rFonts w:ascii="Arial" w:cs="Arial" w:eastAsia="Arial" w:hAnsi="Arial"/>
          <w:sz w:val="20"/>
          <w:szCs w:val="20"/>
        </w:rPr>
        <w:t xml:space="preserve">The protocol, ICF, patient-facing materials, and any amendments will be reviewed and approved by a properly constituted IRB per 21 CFR Part 56 and ICH E6(R2) GCP. The Principal Investigator must not enroll patients prior to written IRB approval.</w:t>
      </w:r>
    </w:p>
    <w:p>
      <w:pPr>
        <w:pStyle w:val="Heading2"/>
        <w:spacing w:before="240" w:after="120"/>
      </w:pPr>
      <w:r>
        <w:rPr>
          <w:rFonts w:ascii="Arial" w:cs="Arial" w:eastAsia="Arial" w:hAnsi="Arial"/>
          <w:b/>
          <w:bCs/>
          <w:color w:val="2E75B6"/>
          <w:sz w:val="26"/>
          <w:szCs w:val="26"/>
        </w:rPr>
        <w:t xml:space="preserve">10.3 Good Clinical Practice</w:t>
      </w:r>
    </w:p>
    <w:p>
      <w:pPr>
        <w:spacing w:before="80" w:after="80"/>
      </w:pPr>
      <w:r>
        <w:rPr>
          <w:rFonts w:ascii="Arial" w:cs="Arial" w:eastAsia="Arial" w:hAnsi="Arial"/>
          <w:sz w:val="20"/>
          <w:szCs w:val="20"/>
        </w:rPr>
        <w:t xml:space="preserve">This study will be conducted in compliance with ICH E6(R2) GCP, 21 CFR Parts 50, 56, and 312, and all applicable local regulations. All study personnel will complete GCP training prior to study initiation. Source documents will be maintained at each site per 21 CFR 312.62.</w:t>
      </w:r>
    </w:p>
    <w:p>
      <w:pPr>
        <w:pStyle w:val="Heading2"/>
        <w:spacing w:before="240" w:after="120"/>
      </w:pPr>
      <w:r>
        <w:rPr>
          <w:rFonts w:ascii="Arial" w:cs="Arial" w:eastAsia="Arial" w:hAnsi="Arial"/>
          <w:b/>
          <w:bCs/>
          <w:color w:val="2E75B6"/>
          <w:sz w:val="26"/>
          <w:szCs w:val="26"/>
        </w:rPr>
        <w:t xml:space="preserve">10.4 Data Privacy</w:t>
      </w:r>
    </w:p>
    <w:p>
      <w:pPr>
        <w:spacing w:before="80" w:after="80"/>
      </w:pPr>
      <w:r>
        <w:rPr>
          <w:rFonts w:ascii="Arial" w:cs="Arial" w:eastAsia="Arial" w:hAnsi="Arial"/>
          <w:sz w:val="20"/>
          <w:szCs w:val="20"/>
        </w:rPr>
        <w:t xml:space="preserve">Patient data will be handled in accordance with HIPAA Privacy Rule (45 CFR Parts 160 and 164) and applicable data privacy laws. Patient identifiers will be replaced with unique study identifiers in all sponsor databases. Source documents remain at site and are accessible to sponsor monitors and regulatory authorities during inspections.</w:t>
      </w:r>
    </w:p>
    <w:p>
      <w:pPr>
        <w:pStyle w:val="Heading2"/>
        <w:spacing w:before="240" w:after="120"/>
      </w:pPr>
      <w:r>
        <w:rPr>
          <w:rFonts w:ascii="Arial" w:cs="Arial" w:eastAsia="Arial" w:hAnsi="Arial"/>
          <w:b/>
          <w:bCs/>
          <w:color w:val="2E75B6"/>
          <w:sz w:val="26"/>
          <w:szCs w:val="26"/>
        </w:rPr>
        <w:t xml:space="preserve">10.5 Financial Disclosure</w:t>
      </w:r>
    </w:p>
    <w:p>
      <w:pPr>
        <w:spacing w:before="80" w:after="80"/>
      </w:pPr>
      <w:r>
        <w:rPr>
          <w:rFonts w:ascii="Arial" w:cs="Arial" w:eastAsia="Arial" w:hAnsi="Arial"/>
          <w:sz w:val="20"/>
          <w:szCs w:val="20"/>
        </w:rPr>
        <w:t xml:space="preserve">Principal Investigators and Sub-Investigators will complete FDA Financial Disclosure forms (Form FDA 3455 or 3454) per 21 CFR Part 54 prior to study initiation and updated as required.</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11. REFERENCES</w:t>
      </w:r>
    </w:p>
    <w:p>
      <w:pPr>
        <w:spacing w:before="80" w:after="80"/>
      </w:pPr>
      <w:r>
        <w:rPr>
          <w:rFonts w:ascii="Arial" w:cs="Arial" w:eastAsia="Arial" w:hAnsi="Arial"/>
          <w:sz w:val="20"/>
          <w:szCs w:val="20"/>
        </w:rPr>
        <w:t xml:space="preserve">1. U.S. Food and Drug Administration. Guidance for Industry: Considerations for the Design, Conduct, and Analysis of First-in-Human Studies for Investigational Oncology Drugs and Biologics. Draft Guidance. FDA; 2025.</w:t>
      </w:r>
    </w:p>
    <w:p>
      <w:pPr>
        <w:spacing w:before="80" w:after="80"/>
      </w:pPr>
      <w:r>
        <w:rPr>
          <w:rFonts w:ascii="Arial" w:cs="Arial" w:eastAsia="Arial" w:hAnsi="Arial"/>
          <w:sz w:val="20"/>
          <w:szCs w:val="20"/>
        </w:rPr>
        <w:t xml:space="preserve">2. U.S. Food and Drug Administration. Guidance for Industry: Expedited Programs for Serious Conditions — Drugs and Biologics. FDA; 2014 (updated 2023).</w:t>
      </w:r>
    </w:p>
    <w:p>
      <w:pPr>
        <w:spacing w:before="80" w:after="80"/>
      </w:pPr>
      <w:r>
        <w:rPr>
          <w:rFonts w:ascii="Arial" w:cs="Arial" w:eastAsia="Arial" w:hAnsi="Arial"/>
          <w:sz w:val="20"/>
          <w:szCs w:val="20"/>
        </w:rPr>
        <w:t xml:space="preserve">3. ICH Harmonised Guideline E6(R2): Good Clinical Practice. International Council for Harmonisation; 2016.</w:t>
      </w:r>
    </w:p>
    <w:p>
      <w:pPr>
        <w:spacing w:before="80" w:after="80"/>
      </w:pPr>
      <w:r>
        <w:rPr>
          <w:rFonts w:ascii="Arial" w:cs="Arial" w:eastAsia="Arial" w:hAnsi="Arial"/>
          <w:sz w:val="20"/>
          <w:szCs w:val="20"/>
        </w:rPr>
        <w:t xml:space="preserve">4. ICH Harmonised Guideline E8(R1): General Considerations for Clinical Studies. International Council for Harmonisation; 2021.</w:t>
      </w:r>
    </w:p>
    <w:p>
      <w:pPr>
        <w:spacing w:before="80" w:after="80"/>
      </w:pPr>
      <w:r>
        <w:rPr>
          <w:rFonts w:ascii="Arial" w:cs="Arial" w:eastAsia="Arial" w:hAnsi="Arial"/>
          <w:sz w:val="20"/>
          <w:szCs w:val="20"/>
        </w:rPr>
        <w:t xml:space="preserve">5. National Cancer Institute. Common Terminology Criteria for Adverse Events (CTCAE) Version 5.0. NCI/NIH; 2017.</w:t>
      </w:r>
    </w:p>
    <w:p>
      <w:pPr>
        <w:spacing w:before="80" w:after="80"/>
      </w:pPr>
      <w:r>
        <w:rPr>
          <w:rFonts w:ascii="Arial" w:cs="Arial" w:eastAsia="Arial" w:hAnsi="Arial"/>
          <w:sz w:val="20"/>
          <w:szCs w:val="20"/>
        </w:rPr>
        <w:t xml:space="preserve">6. Eisenhauer EA, et al. New response evaluation criteria in solid tumours: revised RECIST guideline (version 1.1). Eur J Cancer. 2009;45(2):228-247.</w:t>
      </w:r>
    </w:p>
    <w:p>
      <w:pPr>
        <w:spacing w:before="80" w:after="80"/>
      </w:pPr>
      <w:r>
        <w:rPr>
          <w:rFonts w:ascii="Arial" w:cs="Arial" w:eastAsia="Arial" w:hAnsi="Arial"/>
          <w:sz w:val="20"/>
          <w:szCs w:val="20"/>
        </w:rPr>
        <w:t xml:space="preserve">7. Simon R, et al. Accelerated titration designs for phase I clinical trials in oncology. J Natl Cancer Inst. 1997;89(15):1138-1147.</w:t>
      </w:r>
    </w:p>
    <w:p>
      <w:pPr>
        <w:spacing w:before="80" w:after="80"/>
      </w:pPr>
      <w:r>
        <w:rPr>
          <w:rFonts w:ascii="Arial" w:cs="Arial" w:eastAsia="Arial" w:hAnsi="Arial"/>
          <w:sz w:val="20"/>
          <w:szCs w:val="20"/>
        </w:rPr>
        <w:t xml:space="preserve">8. Le DT, et al. PD-1 Blockade in Tumors with Mismatch-Repair Deficiency. N Engl J Med. 2015;372(26):2509-2520.</w:t>
      </w:r>
    </w:p>
    <w:p>
      <w:pPr>
        <w:spacing w:before="80" w:after="80"/>
      </w:pPr>
      <w:r>
        <w:rPr>
          <w:rFonts w:ascii="Arial" w:cs="Arial" w:eastAsia="Arial" w:hAnsi="Arial"/>
          <w:sz w:val="20"/>
          <w:szCs w:val="20"/>
        </w:rPr>
        <w:t xml:space="preserve">9. Brahmer JR, et al. Management of Immune-Related Adverse Events in Patients Treated With Immune Checkpoint Inhibitor Therapy: ASCO Clinical Practice Guideline. J Clin Oncol. 2021;39(36):4073-4126.</w:t>
      </w:r>
    </w:p>
    <w:p>
      <w:pPr>
        <w:spacing w:before="80" w:after="80"/>
      </w:pPr>
      <w:r>
        <w:rPr>
          <w:rFonts w:ascii="Arial" w:cs="Arial" w:eastAsia="Arial" w:hAnsi="Arial"/>
          <w:sz w:val="20"/>
          <w:szCs w:val="20"/>
        </w:rPr>
        <w:t xml:space="preserve">10. Code of Federal Regulations. 21 CFR Part 312: Investigational New Drug Application. U.S. Government Publishing Office.</w:t>
      </w:r>
    </w:p>
    <w:p>
      <w:r>
        <w:br w:type="page"/>
      </w:r>
    </w:p>
    <w:p>
      <w:pPr>
        <w:pStyle w:val="Heading1"/>
        <w:pBdr>
          <w:bottom w:val="single" w:color="2E75B6" w:sz="6" w:space="4"/>
        </w:pBdr>
        <w:spacing w:before="320" w:after="160"/>
      </w:pPr>
      <w:r>
        <w:rPr>
          <w:rFonts w:ascii="Arial" w:cs="Arial" w:eastAsia="Arial" w:hAnsi="Arial"/>
          <w:b/>
          <w:bCs/>
          <w:color w:val="1F3864"/>
          <w:sz w:val="32"/>
          <w:szCs w:val="32"/>
        </w:rPr>
        <w:t xml:space="preserve">12. PROTOCOL AMENDMENT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000"/>
        <w:gridCol w:w="4360"/>
      </w:tblGrid>
      <w:tr>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Amendment</w:t>
            </w:r>
          </w:p>
        </w:tc>
        <w:tc>
          <w:tcPr>
            <w:tcW w:type="dxa" w:w="15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200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43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Summary of Changes</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N/A</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1.0 (Original)</w:t>
            </w:r>
          </w:p>
        </w:tc>
        <w:tc>
          <w:tcPr>
            <w:tcW w:type="dxa" w:w="4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Initial protocol submission</w:t>
            </w:r>
          </w:p>
        </w:tc>
      </w:tr>
    </w:tbl>
    <w:p>
      <w:pPr>
        <w:spacing w:before="80" w:after="80"/>
      </w:pPr>
      <w:r>
        <w:t xml:space="preserve"/>
      </w:r>
    </w:p>
    <w:p>
      <w:pPr>
        <w:pStyle w:val="Heading1"/>
        <w:pBdr>
          <w:bottom w:val="single" w:color="2E75B6" w:sz="6" w:space="4"/>
        </w:pBdr>
        <w:spacing w:before="320" w:after="160"/>
      </w:pPr>
      <w:r>
        <w:rPr>
          <w:rFonts w:ascii="Arial" w:cs="Arial" w:eastAsia="Arial" w:hAnsi="Arial"/>
          <w:b/>
          <w:bCs/>
          <w:color w:val="1F3864"/>
          <w:sz w:val="32"/>
          <w:szCs w:val="32"/>
        </w:rPr>
        <w:t xml:space="preserve">13. SIGNATURE PAGE</w:t>
      </w:r>
    </w:p>
    <w:p>
      <w:pPr>
        <w:spacing w:before="80" w:after="80"/>
      </w:pPr>
      <w:r>
        <w:t xml:space="preserve"/>
      </w:r>
    </w:p>
    <w:p>
      <w:pPr>
        <w:spacing w:before="80" w:after="80"/>
      </w:pPr>
      <w:r>
        <w:rPr>
          <w:rFonts w:ascii="Arial" w:cs="Arial" w:eastAsia="Arial" w:hAnsi="Arial"/>
          <w:sz w:val="20"/>
          <w:szCs w:val="20"/>
        </w:rPr>
        <w:t xml:space="preserve">By signing below, the Principal Investigator confirms agreement to conduct this study in accordance with this protocol, applicable GCP guidelines, and all federal, state, and local regulations.</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pBdr>
            </w:pPr>
            <w:r>
              <w:rPr>
                <w:sz w:val="36"/>
                <w:szCs w:val="36"/>
              </w:rPr>
              <w:t xml:space="preserve"> </w:t>
            </w:r>
          </w:p>
          <w:p>
            <w:r>
              <w:rPr>
                <w:rFonts w:ascii="Arial" w:cs="Arial" w:eastAsia="Arial" w:hAnsi="Arial"/>
                <w:sz w:val="18"/>
                <w:szCs w:val="18"/>
              </w:rPr>
              <w:t xml:space="preserve">Principal Investigator Signature</w:t>
            </w:r>
          </w:p>
          <w:p>
            <w:pPr>
              <w:spacing w:before="80" w:after="8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120"/>
            </w:tcMar>
          </w:tcPr>
          <w:p>
            <w:pPr>
              <w:pBdr>
                <w:bottom w:val="single" w:color="000000" w:sz="4"/>
              </w:pBdr>
            </w:pPr>
            <w:r>
              <w:rPr>
                <w:sz w:val="36"/>
                <w:szCs w:val="36"/>
              </w:rPr>
              <w:t xml:space="preserve"> </w:t>
            </w:r>
          </w:p>
          <w:p>
            <w:r>
              <w:rPr>
                <w:rFonts w:ascii="Arial" w:cs="Arial" w:eastAsia="Arial" w:hAnsi="Arial"/>
                <w:sz w:val="18"/>
                <w:szCs w:val="18"/>
              </w:rPr>
              <w:t xml:space="preserve">Sponsor Medical Officer Signature</w:t>
            </w:r>
          </w:p>
          <w:p>
            <w:pPr>
              <w:spacing w:before="80" w:after="80"/>
            </w:pPr>
            <w:r>
              <w:t xml:space="preserve"/>
            </w:r>
          </w:p>
          <w:p>
            <w:pPr>
              <w:pBdr>
                <w:bottom w:val="single" w:color="000000" w:sz="4"/>
              </w:pBdr>
            </w:pPr>
            <w:r>
              <w:rPr>
                <w:sz w:val="36"/>
                <w:szCs w:val="36"/>
              </w:rPr>
              <w:t xml:space="preserve"> </w:t>
            </w:r>
          </w:p>
          <w:p>
            <w:r>
              <w:rPr>
                <w:rFonts w:ascii="Arial" w:cs="Arial" w:eastAsia="Arial" w:hAnsi="Arial"/>
                <w:sz w:val="18"/>
                <w:szCs w:val="18"/>
              </w:rPr>
              <w:t xml:space="preserve">Date (DD-MMM-YYYY)</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right" w:pos="9026"/>
      </w:tabs>
    </w:pPr>
    <w:r>
      <w:rPr>
        <w:rFonts w:ascii="Arial" w:cs="Arial" w:eastAsia="Arial" w:hAnsi="Arial"/>
        <w:color w:val="888888"/>
        <w:sz w:val="16"/>
        <w:szCs w:val="16"/>
      </w:rPr>
      <w:t xml:space="preserve">FOR REGULATORY USE ONLY — NOT FOR CLINICAL DECISION MAKING</w:t>
    </w:r>
    <w:r>
      <w:rPr>
        <w:rFonts w:ascii="Arial" w:cs="Arial" w:eastAsia="Arial" w:hAnsi="Arial"/>
        <w:color w:val="888888"/>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pPr>
    <w:r>
      <w:rPr>
        <w:rFonts w:ascii="Arial" w:cs="Arial" w:eastAsia="Arial" w:hAnsi="Arial"/>
        <w:color w:val="888888"/>
        <w:sz w:val="16"/>
        <w:szCs w:val="16"/>
      </w:rPr>
      <w:t xml:space="preserve">CONFIDENTIAL — INVESTIGATIONAL NEW DRUG APPLICATION</w:t>
    </w:r>
    <w:r>
      <w:rPr>
        <w:rFonts w:ascii="Arial" w:cs="Arial" w:eastAsia="Arial" w:hAnsi="Arial"/>
        <w:color w:val="888888"/>
        <w:sz w:val="16"/>
        <w:szCs w:val="16"/>
      </w:rPr>
      <w:t xml:space="preserve">   |   Protocol No. CERV-001-SAD/MAD  |  Version 1.0  |  CERVIMAB (anti-PD-1)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2026-03-16T13:21:47.204Z</dcterms:created>
  <dcterms:modified xsi:type="dcterms:W3CDTF">2026-03-16T13:21:47.206Z</dcterms:modified>
</cp:coreProperties>
</file>

<file path=docProps/custom.xml><?xml version="1.0" encoding="utf-8"?>
<Properties xmlns="http://schemas.openxmlformats.org/officeDocument/2006/custom-properties" xmlns:vt="http://schemas.openxmlformats.org/officeDocument/2006/docPropsVTypes"/>
</file>