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AGREED ENDPOINTS AND ESTIMANDS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 xml:space="preserve">CERVIX-03 — Cervimab Phase 3 Study in dMMR/MSI-H mCRC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Estimand Framework per ICH E9(R1) Addendum on Estimands and Sensitivity Analysis in Clinical Trials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Document Status: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Draft — For EOP2 Meeting Discussion (Version 1.0, March 16, 2026)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Vexion Therapeutics, Inc. — Biostatistics and Clinical Development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Reference: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ICH E9(R1) Addendum (November 2019); FDA Guidance on Estimands (November 2023)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PURPOSE AND SCOPE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60"/>
        <w:jc w:val="left"/>
      </w:pPr>
      <w:r>
        <w:rPr>
          <w:sz w:val="24"/>
          <w:szCs w:val="24"/>
        </w:rPr>
        <w:t xml:space="preserve">This document defines the endpoints and estimands for the pivotal Phase 3 study CERVIX-03, in alignment with ICH E9(R1). For each endpoint, the five estimand attributes are specified: (1) the treatment condition of interest, (2) the target population, (3) the variable (outcome), (4) the strategy for addressing intercurrent events (ICEs), and (5) the population-level summary measure. Sensitivity and supplementary analyses are described for the primary estimand.</w:t>
      </w:r>
    </w:p>
    <w:p>
      <w:pPr>
        <w:spacing w:after="100"/>
      </w:pPr>
      <w:r>
        <w:t xml:space="preserve"/>
      </w:r>
    </w:p>
    <w:p>
      <w:pPr>
        <w:spacing w:after="160"/>
        <w:jc w:val="left"/>
      </w:pPr>
      <w:r>
        <w:rPr>
          <w:b/>
          <w:bCs/>
          <w:sz w:val="24"/>
          <w:szCs w:val="24"/>
        </w:rPr>
        <w:t xml:space="preserve">The following intercurrent events are anticipated in CERVIX-03 and are addressed by each estimand: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ICE-1: Treatment discontinuation (due to toxicity, patient withdrawal, death, or other reason) prior to the primary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ICE-2: Initiation of subsequent anti-cancer therapy (chemotherapy, targeted, or immunotherapy) prior to the primary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ICE-3: Non-protocol-specified procedures affecting disease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ICE-4: Death (relevant for PFS and ORR estimands)</w:t>
      </w:r>
    </w:p>
    <w:p>
      <w:pPr>
        <w:spacing w:after="100"/>
      </w:pPr>
      <w:r>
        <w:t xml:space="preserve"/>
      </w:r>
    </w:p>
    <w:p>
      <w:pPr>
        <w:pStyle w:val="Heading1"/>
      </w:pPr>
      <w:r>
        <w:t xml:space="preserve">2. PRIMARY ESTIMAND — PROGRESSION-FREE SURVIVAL (PFS)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Estimand 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Treatment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Cervimab 400 mg IV Q6W versus Investigator's Choice Chemotherapy (FOLFIRI ± bevacizumab, regorafenib, or trifluridine/tipiracil) as allocated at randomization, regardless of treatment received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Target Population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randomized adult patients with confirmed dMMR/MSI-H mCRC who received ≥1 prior line of fluoropyrimidine-based systemic therapy (Intent-to-Treat population)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Variable (Outcome)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 in months from date of randomization to the earlier of: (a) first documented radiologic disease progression per RECIST v1.1 assessed by blinded independent central review (BICR); or (b) death from any cause. Patients alive and free of progression at the data cutoff date are censored at the date of last adequate tumor assessment.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 ICE Strategies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ICE-1 (Treatment Discontinuation): Composite strategy — disease progression and death events occurring after treatment discontinuation are counted as PFS events. Patients who discontinue without progression are followed for radiologic assessment until PD or death.
ICE-2 (Subsequent Therapy): Composite strategy — consistent with treatment policy; subsequent therapy does not affect PFS censoring. Patients are censored at last adequate assessment only if lost to follow-up without an event.
ICE-4 (Death without Prior Progression): Death from any cause counts as a PFS event, regardless of proximity to last tumor assessment (treatment policy for death).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 Summary Measure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Hazard Ratio (HR) estimated by stratified Cox proportional hazards model (strata: prior lines of therapy, BRAF V600E status, geographic region); 95% confidence interval.
Median PFS estimated by Kaplan-Meier method with 95% CI (Brookmeyer-Crowley).
12-month and 18-month PFS rates with 95% CI.
Statistical test: Stratified log-rank test; two-sided α = 0.05.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2.1 Sensitivity Analyses for Primary PFS Estimand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Sensitivity Analysis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SA-1: Unstratified log-rank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Unstratified log-rank test without stratification factors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SA-2: Per-Protocol Population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analysis repeated in PP population (excluding major protocol deviations impacting PFS assessment)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SA-3: Crossover-adjusted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Censoring at initiation of subsequent anti-cancer therapy (patients on ICC arm who cross to OLE cervimab censored at crossover)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SA-4: Conservative censoring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Patients with ≥2 missed assessments censored at last assessment prior to first missed visit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SA-5: Investigator-assessed PFS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PFS assessed by investigator (not BICR) as supplementary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SA-6: Weighted log-rank (MaxCombo)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Non-proportional hazards scenario; Fleming-Harrington weighted log-rank tests G(0,0), G(1,0), G(0,1), G(1,1) combined (MaxCombo)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3. KEY SECONDARY ESTIMAND — OVERALL SURVIVAL (OS)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Estimand 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 Treatment Condition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Cervimab vs. ICC as randomized (treatment policy strategy)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2. Target Population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randomized patients (ITT)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3. Variable (Outcome)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 in months from date of randomization to death from any cause. Patients alive at data cutoff censored at date of last known alive.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4. ICE Strategies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ICE-2 (Subsequent Therapy): Treatment policy strategy — patients in ICC arm who subsequently receive cervimab in the OLE are NOT censored at crossover in the primary OS analysis; all deaths counted regardless of subsequent therapy.
Hypothetical Strategy Sensitivity: Censoring ICC patients at crossover to estimate OS in the hypothetical scenario where crossover did not occur (RPSFT or IPE method).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5. Summary Measure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HR (stratified Cox model, same strata as PFS); 95% CI.
Median OS (Kaplan-Meier); 24-month and 36-month OS rates.
Alpha allocation: final OS tested at α per O'Brien-Fleming spending function; interim OS at ~50% events tested at α-spending boundary.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4. KEY SECONDARY ESTIMAND — OBJECTIVE RESPONSE RATE (ORR)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Treatment Condition: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Cervimab vs. ICC as randomized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 Population: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randomized patients with measurable disease at baseline per RECIST v1.1 (ITT with measurable disease; sensitivity: full ITT)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Variable: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Proportion of patients achieving best overall response of CR or PR per RECIST v1.1 assessed by BICR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ICE Strategy: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Treatment policy strategy: responses occurring before or after ICEs (treatment discontinuation, subsequent therapy) are counted in the assessment of ORR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Summary Measure: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ORR with 95% CI per Clopper-Pearson method; between-arm difference with 95% CI; odds ratio (logistic regression with stratification factors)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5. KEY SECONDARY ESTIMAND — DURATION OF RESPONSE (DOR)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 Population: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Patients achieving CR or PR (responders)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Variable: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 from date of first documented CR or PR to first documented PD per RECIST v1.1 (BICR) or death from any cause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ICE Strategy: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Composite strategy (same as PFS) — treatment discontinuation does not censor; death is an event; subsequent therapy does not censor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Summary Measure: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Median DOR with 95% CI (Kaplan-Meier); proportion with DOR ≥12 months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6. KEY SECONDARY ESTIMAND — HEALTH-RELATED QUALITY OF LIFE (HRQoL)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Instrument: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EORTC QLQ-C30 (version 3.0); GHS/QoL scale (items 29–30)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Target Population: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patients with baseline and ≥1 post-baseline PRO assessment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Variable: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Change from baseline in EORTC QLQ-C30 GHS/QoL scale; time to definitive deterioration (TDD) defined as ≥10-point decrease from baseline confirmed at next assessment or followed by death within 3 weeks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ICE Strategy: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While on treatment: treatment policy (all observations used). Post-progression/death: hypothetical strategy — multiple imputation under missing not at random (MNAR) assumption for sensitivity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Summary Measure: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Mean change from baseline at each assessment (mixed model for repeated measures, MMRM); TDD analyzed by log-rank test and KM method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Assessment Schedule: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Baseline, then every 2 cycles, and at end of treatment; quarterly during follow-up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7. SUPPLEMENTARY AND EXPLORATORY ESTIMANDS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Disease Control Rate (DCR)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Proportion with CR + PR + SD ≥8 weeks per BICR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Treatment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PFS2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 from randomization to 2nd progression or death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Treatment policy (post-ICE events counted)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 to Response (TTR)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 from randomization to first CR or PR in responders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Descriptive (Kaplan-Meier)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PD-L1 Subgroup PFS/OS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PFS and OS by CPS ≥1 vs. &lt;1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Same as primary estimand; no alpha allocation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TMB Subgroup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PFS by TMB-H (≥10 mut/Mb) vs. TMB-L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Exploratory; descriptive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ctDNA Clearance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Association of ctDNA clearance at C3D1 with PFS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Exploratory biomarker; no multiplicity adjustment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8. MISSING DATA HANDLING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Missing PFS assessments: patients without disease progression or death censored at date of last adequate tumor assessment (defined as assessment where at least target lesions are evaluable)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Patients with no post-baseline tumor assessments due to early death: death counted as PFS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Patients lost to follow-up without event: censored at date of last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Patients who withdraw consent: censored at date of withdrawal; vital status follow-up for OS to be attempted per local regulations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Missing PRO data: items with ≥50% of items answered will be scored; MMRM model used for longitudinal HRQoL; MNAR sensitivity per controlled multiple imputation</w:t>
      </w:r>
    </w:p>
    <w:p>
      <w:pPr>
        <w:spacing w:after="100"/>
      </w:pPr>
      <w:r>
        <w:t xml:space="preserve"/>
      </w:r>
    </w:p>
    <w:sectPr>
      <w:headerReference w:type="default" r:id="rId6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color w:val="666666"/>
        <w:sz w:val="18"/>
        <w:szCs w:val="18"/>
      </w:rPr>
      <w:t xml:space="preserve">CONFIDENTIAL — Agreed Endpoints &amp; Estimands — CERVIX-03 | Cervimab | IND 123456 | Vexion Therapeutics 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2026-03-16T13:57:25.972Z</dcterms:created>
  <dcterms:modified xsi:type="dcterms:W3CDTF">2026-03-16T13:57:25.972Z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