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 xml:space="preserve">PHASE 3 PROTOCOL SYNOPSIS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2E75B6"/>
          <w:sz w:val="30"/>
          <w:szCs w:val="30"/>
        </w:rPr>
        <w:t xml:space="preserve">CERVIX-03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A Randomized, Open-Label, Active-Controlled, Multicenter, Global Phase 3 Study of Cervimab Versus Investigator's Choice Chemotherapy in Adult Patients with Previously Treated Deficient Mismatch Repair / Microsatellite Instability-High (dMMR/MSI-H) Metastatic Colorectal Cancer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Sponsor: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Vexion Therapeutics, Inc.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IND Number: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IND 123456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Protocol Number: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VEXION-CERV-003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Version / Date: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Version 1.0 — March 16, 2026 (Draft for EOP2 Discussion)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Study Phase: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3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EudraCT Number: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Study Drug: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Cervimab (anti-PD-1 mAb); INN: cervimab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200" w:after="80"/>
        <w:jc w:val="center"/>
      </w:pPr>
      <w:r>
        <w:rPr>
          <w:b/>
          <w:bCs/>
          <w:color w:val="C00000"/>
          <w:sz w:val="20"/>
          <w:szCs w:val="20"/>
        </w:rPr>
        <w:t xml:space="preserve">CONFIDENTIAL — FOR FDA REVIEW ONLY</w:t>
      </w:r>
    </w:p>
    <w:p>
      <w:r>
        <w:br w:type="page"/>
      </w:r>
    </w:p>
    <w:p>
      <w:pPr>
        <w:pStyle w:val="Heading1"/>
      </w:pPr>
      <w:r>
        <w:t xml:space="preserve">1. STUDY OVERVIEW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CERVIX-03: Cervimab vs. Investigator's Choice Chemotherapy in Previously Treated dMMR/MSI-H mCRC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Indication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Deficient Mismatch Repair (dMMR) / Microsatellite Instability-High (MSI-H) metastatic colorectal cancer (mCRC) in patients who have received at least one prior line of fluoropyrimidine-based systemic therapy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Study Design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Randomized, open-label, active-controlled, multicenter, global Phase 3 study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Randomization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2:1 (cervimab : ICC); stratified by: (1) Prior lines of therapy (1 vs. ≥2); (2) BRAF V600E mutation status (mutant vs. wild-type); (3) Geographic region (North America / Western Europe / Rest of World)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Sample Size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Approximately 450 patients (300 cervimab; 150 ICC)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Treatment Arms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Arm A (Experimental): Cervimab 400 mg IV Q6W until PD, unacceptable toxicity, or withdrawal
Arm B (Control): Investigator's Choice Chemotherapy: FOLFIRI ± bevacizumab Q2W; OR regorafenib 160 mg PO QD Days 1–21 Q4W; OR trifluridine/tipiracil 35 mg/m² PO BID Days 1–5, 8–12 Q4W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Endpoint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Progression-Free Survival (PFS) per RECIST v1.1 by blinded independent central review (BICR)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Key Secondary Endpoints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Overall Survival (OS); Objective Response Rate (ORR); Duration of Response (DOR); Health-Related Quality of Life (HRQoL) per EORTC QLQ-C30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Planned Duration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Enrollment: 24 months; Follow-up: minimum 36 months from enrollment of last patient; Total study duration: ~5 years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Study Sites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~200 sites globally; North America (~80 sites), Western Europe (~80 sites), Asia-Pacific (~40 sites)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2. BACKGROUND AND RATIONALE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2.1 Disease Background</w:t>
      </w:r>
    </w:p>
    <w:p>
      <w:pPr>
        <w:spacing w:after="160"/>
        <w:jc w:val="left"/>
      </w:pPr>
      <w:r>
        <w:rPr>
          <w:sz w:val="24"/>
          <w:szCs w:val="24"/>
        </w:rPr>
        <w:t xml:space="preserve">Colorectal cancer (CRC) is the third most common cancer and the second leading cause of cancer-related mortality worldwide, with an estimated 1.9 million new cases annually (GLOBOCAN 2022). Approximately 5% of patients with metastatic CRC harbor dMMR/MSI-H tumors, representing a genetically and immunologically distinct subgroup characterized by high tumor mutational burden (TMB-H), abundant tumor-infiltrating lymphocytes, and sensitivity to immune checkpoint blockade.</w:t>
      </w:r>
    </w:p>
    <w:p>
      <w:pPr>
        <w:spacing w:after="100"/>
      </w:pPr>
      <w:r>
        <w:t xml:space="preserve"/>
      </w:r>
    </w:p>
    <w:p>
      <w:pPr>
        <w:spacing w:after="160"/>
        <w:jc w:val="left"/>
      </w:pPr>
      <w:r>
        <w:rPr>
          <w:sz w:val="24"/>
          <w:szCs w:val="24"/>
        </w:rPr>
        <w:t xml:space="preserve">Despite the approval of pembrolizumab as first-line therapy for dMMR/MSI-H mCRC (KEYNOTE-177), the majority of patients eventually develop resistance, and there is a high unmet medical need for effective therapies in the second-line and beyond setting. Currently available options after progression on first-line immunotherapy include cytotoxic chemotherapy (FOLFIRI ± bevacizumab), regorafenib, and trifluridine/tipiracil, with modest ORRs (5–12%) and median PFS of approximately 3–5 months.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2.2 Rationale for Cervimab in This Setting</w:t>
      </w:r>
    </w:p>
    <w:p>
      <w:pPr>
        <w:spacing w:after="160"/>
        <w:jc w:val="left"/>
      </w:pPr>
      <w:r>
        <w:rPr>
          <w:sz w:val="24"/>
          <w:szCs w:val="24"/>
        </w:rPr>
        <w:t xml:space="preserve">Cervimab is a fully humanized IgG4 monoclonal antibody that binds PD-1 with high affinity (KD = 0.18 nM), blocking both PD-L1 and PD-L2 ligation. Nonclinical data demonstrate potent CD8+ T-cell reinvigoration and anti-tumor activity in dMMR tumor models. Phase 2 data from CERVIX-02 demonstrate clinically meaningful activity of cervimab in previously treated dMMR/MSI-H mCRC (ORR 45.5%; mDOR not reached; mPFS 9.8 months), supporting the conduct of a randomized Phase 3 study.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3. STUDY OBJECTIVES AND ENDPOINTS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960"/>
        <w:gridCol w:w="324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Objective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Evaluate PFS benefit of cervimab vs. ICC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PFS per RECIST v1.1 by BICR (time from randomization to first radiologic progression or death from any cause)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Key Secondary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Evaluate OS benefit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OS (time from randomization to death from any cause)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Key Secondary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Evaluate tumor response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ORR (CR + PR per RECIST v1.1 by BICR); Duration of Response (DOR)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Key Secondary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Evaluate HRQoL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EORTC QLQ-C30 Global Health Status scale; time to definitive deterioration (≥10-point decline from baseline confirmed at next assessment)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Secondary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Disease control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Disease Control Rate (DCR = CR + PR + SD); PFS2 (time to second progression or death)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Secondary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Safety and tolerability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Incidence and severity of AEs per NCI CTCAE v5.0; incidence of imAEs; treatment discontinuation rates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Exploratory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Biomarker correlates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TMB; PD-L1 CPS; ctDNA dynamics; T-cell repertoire; Lynch syndrome vs. sporadic dMMR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Exploratory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Pharmacokinetics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Cervimab serum concentrations; PK/PD correlations with efficacy and safety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4. PATIENT POPULATION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4.1 Key Inclusion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Adults ≥18 years of 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Histologically or cytologically confirmed colorectal adenocarcinoma with unresectable locally advanced or metastatic disease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Documented dMMR/MSI-H status by a CLIA-certified laboratory using IHC, PCR, or validated NGS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Measurable disease per RECIST v1.1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ECOG Performance Status 0, 1, or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Received at least 1 but no more than 3 prior lines of systemic therapy for mCRC, including at least one fluoropyrimidine-containing regimen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Adequate organ function (hematologic, hepatic, renal, and coagulation parameters per protocol)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Life expectancy ≥12 weeks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4.2 Key Exclusion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Prior treatment with any PD-1, PD-L1, or CTLA-4 inhibitor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Active autoimmune disease requiring systemic therapy within past 2 years (with exceptions for well-controlled thyroid disease, type 1 diabetes, stable skin conditions)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Active or history of non-infectious pneumonitis requiring steroids, or Grade ≥3 immune-mediated adverse event on prior immunotherapy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Active brain metastases (stable treated brain metastases permitted after 4 weeks of definitive treatment without steroids)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Systemic corticosteroids &gt;10 mg prednisone equivalent/day within 14 days of first dose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Concurrent active malignancy (except non-melanoma skin cancer, cervical carcinoma in situ)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Known MSS/pMMR tumor status (historical testing accepted; re-testing required if &gt;12 months prior)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Pregnant or breastfeeding women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5. STUDY TREATMENT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Arm A: Cervimab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Arm B: ICC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Drug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Cervimab 400 mg IV infusion over 30 minutes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FOLFIRI ± bevacizumab Q2W; OR regorafenib 160 mg PO QD Days 1–21 Q28D; OR trifluridine/tipiracil 35 mg/m² PO BID Days 1–5 and 8–12 Q28D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Schedule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Q6W (42-day cycle)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 standard regimen / label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Continuation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Until PD, unacceptable toxicity, or consent withdrawal. No maximum duration.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Until PD, unacceptable toxicity, or consent withdrawal.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Dose Modifications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Cervimab: dose delays for imAEs; no dose reductions. Corticosteroids per imAE management guidelines.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 standard label and protocol-specified guidelines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Crossover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permitted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Patients may cross over to cervimab at confirmed PD per a separate open-label extension (OLE) sub-study with IRB approval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6. EFFICACY ASSESSMENTS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Radiologic tumor assessments: CT chest/abdomen/pelvis with contrast (or MRI if CT contraindicated) at Baseline, Week 9, Week 18, then Q12 weeks until PD or end of study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Response assessment per RECIST v1.1; all scans reviewed centrally by BICR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Investigator-assessed tumor response collected in parallel (not for primary endpoint)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PET scan not required; optional per institutional standard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CEA and CA19-9: collected at baseline and every 2 cycles (exploratory)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7. SAFETY ASSESSMENTS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Physical examination, vital signs, ECOG PS: at each 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Hematology and serum chemistry panels: at each cycle; additional monitoring as clinically indicated for imAEs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Thyroid function (TSH, free T4): Q6W for cervimab arm; Q12W for ICC arm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AEs graded per NCI CTCAE v5.0; imAEs graded and managed per protocol algorithms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Cardiac monitoring: ECG at baseline; troponin at baseline, Cycle 3, and as clinically indicated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DSMB: independent DSMB to review safety data at regular intervals; first DSMB meeting after 75 patients enrolled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8. STATISTICAL CONSIDERATIONS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8.1 Sample Size and Power</w:t>
      </w:r>
    </w:p>
    <w:p>
      <w:pPr>
        <w:spacing w:after="160"/>
        <w:jc w:val="left"/>
      </w:pPr>
      <w:r>
        <w:rPr>
          <w:sz w:val="24"/>
          <w:szCs w:val="24"/>
        </w:rPr>
        <w:t xml:space="preserve">Based on the following assumptions for the primary endpoint (PFS):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Median PFS in ICC arm: 4.2 months (based on published KEYNOTE-164, CHECKMATE 142 control arm estimates)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Target HR = 0.60 (cervimab vs. ICC); median PFS cervimab estimated 7.0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One-sided α = 0.025 (equivalent to two-sided α = 0.05)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Power = 90%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One PFS interim analysis at ~60% information fraction (α spending per Lan-DeMets O'Brien-Fleming)</w:t>
      </w:r>
    </w:p>
    <w:p>
      <w:pPr>
        <w:spacing w:after="160"/>
        <w:jc w:val="left"/>
      </w:pPr>
      <w:r>
        <w:rPr>
          <w:sz w:val="24"/>
          <w:szCs w:val="24"/>
        </w:rPr>
        <w:t xml:space="preserve">Required: 316 PFS events; approximately 450 patients enrolled (2:1; accounting for 10% dropout rate). Enrollment period: 24 months; minimum follow-up: 12 months after last patient enrolled.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8.2 Analysis Populations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Intent-to-Treat (ITT) Population: All randomized patients. Primary analysis population for PFS and 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Per-Protocol (PP) Population: ITT minus major protocol deviations. Sensitivity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Safety Population: All patients who received ≥1 dose of study treatment.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Biomarker-Evaluable Population: Patients with adequate baseline tumor sample for exploratory biomarker analyses.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8.3 Multiplicity Control</w:t>
      </w:r>
    </w:p>
    <w:p>
      <w:pPr>
        <w:spacing w:after="160"/>
        <w:jc w:val="left"/>
      </w:pPr>
      <w:r>
        <w:rPr>
          <w:sz w:val="24"/>
          <w:szCs w:val="24"/>
        </w:rPr>
        <w:t xml:space="preserve">A hierarchical testing procedure will control the overall family-wise error rate at two-sided α = 0.05: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Step 1: PFS (primary) — tested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Step 2: OS (key secondary) — tested if PFS significant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Step 3: ORR (key secondary) — tested if OS significant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Step 4: HRQoL (key secondary) — tested if ORR significant</w:t>
      </w:r>
    </w:p>
    <w:p>
      <w:pPr>
        <w:spacing w:after="160"/>
        <w:jc w:val="left"/>
      </w:pPr>
      <w:r>
        <w:rPr>
          <w:sz w:val="24"/>
          <w:szCs w:val="24"/>
        </w:rPr>
        <w:t xml:space="preserve">If any step is not significant, subsequent endpoints are descriptive only.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9. BIOMARKER AND TRANSLATIONAL RESEARCH PLAN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Mandatory archival tissue (FFPE) submission for central dMMR/MSI-H confirmation, TMB, and PD-L1 IHC (22C3 pharmDx assay)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Optional fresh biopsy at baseline and at confirmed PD for transcriptomic and spatial profiling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Serial blood samples for ctDNA (liquid biopsy) at Baseline, C1D1, C3D1, and at PD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Germline testing for Lynch syndrome mismatch repair gene variants (MLH1, MSH2, MSH6, PMS2, EPCAM) with separate consent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T-cell receptor (TCR) sequencing on PBMC and tumor-infiltrating lymphocytes (exploratory)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10. REGULATORY CONSIDERATIONS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This protocol synopsis is submitted as part of the EOP2 meeting request package for FDA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 Special Protocol Assessment (SPA) will be requested following EOP2 meeting agreement on the Phase 3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Concurrent Breakthrough Therapy Designation: Sponsor intends to request BTD if not previously granted, based on Phase 2 ORR and DOR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EMA Scientific Advice: Parallel request to EMA for Protocol Assistance under Article 57(2) is planned for Q3 2026.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Regional Regulatory Considerations: Submissions to PMDA (Japan), NMPA (China), and Health Canada will follow FDA alignment.</w:t>
      </w:r>
    </w:p>
    <w:p>
      <w:pPr>
        <w:spacing w:after="100"/>
      </w:pPr>
      <w:r>
        <w:t xml:space="preserve"/>
      </w:r>
    </w:p>
    <w:sectPr>
      <w:headerReference w:type="default" r:id="rId6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color w:val="666666"/>
        <w:sz w:val="18"/>
        <w:szCs w:val="18"/>
      </w:rPr>
      <w:t xml:space="preserve">CONFIDENTIAL — Phase 3 Protocol Synopsis — CERVIX-03 | Cervimab | IND 123456 | Vexion Therapeutics 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2026-03-16T13:57:25.966Z</dcterms:created>
  <dcterms:modified xsi:type="dcterms:W3CDTF">2026-03-16T13:57:25.967Z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