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80"/>
        <w:jc w:val="center"/>
      </w:pPr>
      <w:r>
        <w:rPr>
          <w:b/>
          <w:bCs/>
          <w:color w:val="1F3864"/>
          <w:sz w:val="36"/>
          <w:szCs w:val="36"/>
        </w:rPr>
        <w:t xml:space="preserve">SPECIAL PROTOCOL ASSESSMENT (SPA) REQUEST</w:t>
      </w:r>
    </w:p>
    <w:p>
      <w:pPr>
        <w:pBdr>
          <w:bottom w:val="single" w:color="2E75B6" w:sz="6" w:space="1"/>
        </w:pBdr>
        <w:spacing w:after="200"/>
      </w:pPr>
      <w:r>
        <w:t xml:space="preserve"/>
      </w:r>
    </w:p>
    <w:p>
      <w:pPr>
        <w:spacing w:after="120"/>
        <w:jc w:val="center"/>
      </w:pPr>
      <w:r>
        <w:rPr>
          <w:b/>
          <w:bCs/>
          <w:color w:val="2E75B6"/>
          <w:sz w:val="28"/>
          <w:szCs w:val="28"/>
        </w:rPr>
        <w:t xml:space="preserve">CERVIX-03 Phase 3 Study — Cervimab in dMMR/MSI-H mCRC</w:t>
      </w:r>
    </w:p>
    <w:p>
      <w:pPr>
        <w:spacing w:after="120"/>
        <w:jc w:val="center"/>
      </w:pPr>
      <w:r>
        <w:rPr>
          <w:i/>
          <w:iCs/>
          <w:sz w:val="22"/>
          <w:szCs w:val="22"/>
        </w:rPr>
        <w:t xml:space="preserve">Submitted Pursuant to 21 CFR § 312.82 and FDA Guidance for Industry: Special Protocol Assessment (2002, Updated 2024)</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Sponsor:</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Vexion Therapeutics, Inc.</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IND Number:</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IND 123456</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Protocol Number:</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VEXION-CERV-003 (CERVIX-03)</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Date of Submission: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March 16, 2026</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Requesting Division: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Division of Oncology Products 2 (DOP2), OHOP, CDER</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Contact Person: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Jane M. Smith, MD — VP Clinical Development</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Phone / Email: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(617) 555-0100 / regulatory@vexionthera.com</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Protocol Version: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Version 1.0 — March 16, 2026 (Draft)</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Regulatory Basis: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21 CFR §§ 312.82, 312.83, 312.84; FDCA § 505(b)(1)</w:t>
            </w:r>
          </w:p>
        </w:tc>
      </w:tr>
    </w:tbl>
    <w:p>
      <w:pPr>
        <w:spacing w:after="100"/>
      </w:pPr>
      <w:r>
        <w:t xml:space="preserve"/>
      </w:r>
    </w:p>
    <w:p>
      <w:pPr>
        <w:spacing w:before="200" w:after="80"/>
        <w:jc w:val="center"/>
      </w:pPr>
      <w:r>
        <w:rPr>
          <w:b/>
          <w:bCs/>
          <w:color w:val="C00000"/>
          <w:sz w:val="20"/>
          <w:szCs w:val="20"/>
        </w:rPr>
        <w:t xml:space="preserve">CONFIDENTIAL — CONTAINS TRADE SECRET INFORMATION</w:t>
      </w:r>
    </w:p>
    <w:p>
      <w:r>
        <w:br w:type="page"/>
      </w:r>
    </w:p>
    <w:p>
      <w:pPr>
        <w:pStyle w:val="Heading1"/>
      </w:pPr>
      <w:r>
        <w:t xml:space="preserve">1. BASIS FOR SPECIAL PROTOCOL ASSESSMENT REQUEST</w:t>
      </w:r>
    </w:p>
    <w:p>
      <w:pPr>
        <w:pBdr>
          <w:bottom w:val="single" w:color="2E75B6" w:sz="6" w:space="1"/>
        </w:pBdr>
        <w:spacing w:after="200"/>
      </w:pPr>
      <w:r>
        <w:t xml:space="preserve"/>
      </w:r>
    </w:p>
    <w:p>
      <w:pPr>
        <w:spacing w:after="160"/>
        <w:jc w:val="left"/>
      </w:pPr>
      <w:r>
        <w:rPr>
          <w:sz w:val="24"/>
          <w:szCs w:val="24"/>
        </w:rPr>
        <w:t xml:space="preserve">Vexion Therapeutics, Inc. ("Sponsor") hereby requests a Special Protocol Assessment (SPA) for the pivotal Phase 3 protocol CERVIX-03. The Sponsor submits this SPA request pursuant to 21 CFR § 312.82(b) and the FDA Guidance for Industry: Special Protocol Assessment (May 2002, updated June 2024). An SPA is being requested for the following reasons:</w:t>
      </w:r>
    </w:p>
    <w:p>
      <w:pPr>
        <w:spacing w:after="100"/>
      </w:pPr>
      <w:r>
        <w:t xml:space="preserve"/>
      </w:r>
    </w:p>
    <w:p>
      <w:pPr>
        <w:pStyle w:val="ListParagraph"/>
        <w:numPr>
          <w:ilvl w:val="0"/>
          <w:numId w:val="2"/>
        </w:numPr>
        <w:spacing w:after="80"/>
      </w:pPr>
      <w:r>
        <w:rPr>
          <w:sz w:val="24"/>
          <w:szCs w:val="24"/>
        </w:rPr>
        <w:t xml:space="preserve">CERVIX-03 is designed as a pivotal, randomized, active-controlled Phase 3 study intended to support a New Drug Application (NDA) / Biologics License Application (BLA) for cervimab in previously treated dMMR/MSI-H mCRC</w:t>
      </w:r>
    </w:p>
    <w:p>
      <w:pPr>
        <w:pStyle w:val="ListParagraph"/>
        <w:numPr>
          <w:ilvl w:val="0"/>
          <w:numId w:val="2"/>
        </w:numPr>
        <w:spacing w:after="80"/>
      </w:pPr>
      <w:r>
        <w:rPr>
          <w:sz w:val="24"/>
          <w:szCs w:val="24"/>
        </w:rPr>
        <w:t xml:space="preserve">The Sponsor requests written agreement with FDA that the design, endpoints, and statistical analysis plan of CERVIX-03 are adequate to support a marketing application for the claimed indication</w:t>
      </w:r>
    </w:p>
    <w:p>
      <w:pPr>
        <w:pStyle w:val="ListParagraph"/>
        <w:numPr>
          <w:ilvl w:val="0"/>
          <w:numId w:val="2"/>
        </w:numPr>
        <w:spacing w:after="80"/>
      </w:pPr>
      <w:r>
        <w:rPr>
          <w:sz w:val="24"/>
          <w:szCs w:val="24"/>
        </w:rPr>
        <w:t xml:space="preserve">An SPA agreement will provide regulatory certainty for the Sponsor and investors and facilitate efficient Phase 3 execution</w:t>
      </w:r>
    </w:p>
    <w:p>
      <w:pPr>
        <w:pStyle w:val="ListParagraph"/>
        <w:numPr>
          <w:ilvl w:val="0"/>
          <w:numId w:val="2"/>
        </w:numPr>
        <w:spacing w:after="80"/>
      </w:pPr>
      <w:r>
        <w:rPr>
          <w:sz w:val="24"/>
          <w:szCs w:val="24"/>
        </w:rPr>
        <w:t xml:space="preserve">The Sponsor acknowledges that an SPA agreement is binding under 21 CFR § 312.82(e) and commits to substantive discussion with FDA prior to any material protocol amendments</w:t>
      </w:r>
    </w:p>
    <w:p>
      <w:pPr>
        <w:spacing w:after="100"/>
      </w:pPr>
      <w:r>
        <w:t xml:space="preserve"/>
      </w:r>
    </w:p>
    <w:p>
      <w:pPr>
        <w:pStyle w:val="Heading2"/>
      </w:pPr>
      <w:r>
        <w:t xml:space="preserve">1.1 Eligibility for SPA</w:t>
      </w:r>
    </w:p>
    <w:p>
      <w:pPr>
        <w:spacing w:after="160"/>
        <w:jc w:val="left"/>
      </w:pPr>
      <w:r>
        <w:rPr>
          <w:sz w:val="24"/>
          <w:szCs w:val="24"/>
        </w:rPr>
        <w:t xml:space="preserve">Per FDA guidance, SPA is available for studies intended to provide evidence of effectiveness or safety for a marketing application. CERVIX-03 satisfies this criterion as a pivotal efficacy study with a randomized controlled design, prospective statistical analysis plan, and primary endpoint (PFS) that has been established as a basis for full or accelerated approval in oncology.</w:t>
      </w:r>
    </w:p>
    <w:p>
      <w:pPr>
        <w:spacing w:after="100"/>
      </w:pPr>
      <w:r>
        <w:t xml:space="preserve"/>
      </w:r>
    </w:p>
    <w:p>
      <w:pPr>
        <w:pStyle w:val="Heading1"/>
      </w:pPr>
      <w:r>
        <w:t xml:space="preserve">2. PROTOCOL SUMMARY</w:t>
      </w:r>
    </w:p>
    <w:p>
      <w:pPr>
        <w:pBdr>
          <w:bottom w:val="single" w:color="2E75B6" w:sz="6" w:space="1"/>
        </w:pBdr>
        <w:spacing w:after="200"/>
      </w:pPr>
      <w:r>
        <w:t xml:space="preserve"/>
      </w:r>
    </w:p>
    <w:p>
      <w:pPr>
        <w:spacing w:after="160"/>
        <w:jc w:val="left"/>
      </w:pPr>
      <w:r>
        <w:rPr>
          <w:sz w:val="24"/>
          <w:szCs w:val="24"/>
        </w:rPr>
        <w:t xml:space="preserve">The complete Phase 3 protocol synopsis is submitted as Attachment A to this SPA request. Key elements are summarized below for FDA's review:</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Protocol Element</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Summary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Study Design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Randomized (2:1), open-label, active-controlled, multicenter Phase 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Population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Adults ≥18 years; confirmed dMMR/MSI-H mCRC; ≥1 prior fluoropyrimidine-based therapy; ECOG PS 0–2; measurable disease per RECIST v1.1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Treatment Arms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Arm A: Cervimab 400 mg IV Q6W
Arm B: ICC (FOLFIRI ± bevacizumab, regorafenib, or trifluridine/tipiracil)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Primary Endpoint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PFS per RECIST v1.1 by BICR (time from randomization to first progression or death)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Key Secondary Endpoints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OS; ORR; DOR; HRQoL (EORTC QLQ-C30)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Sample Size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~450 patients; 316 PFS events required; 90% power; HR = 0.60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Alpha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Two-sided α = 0.05; hierarchical testing: PFS → OS → ORR → HRQoL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Stratification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Prior lines of therapy; BRAF V600E status; geographic region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Interim Analyses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One PFS interim at ~60% events; one OS interim at ~50% OS events; O'Brien-Fleming alpha spending</w:t>
            </w:r>
          </w:p>
        </w:tc>
      </w:tr>
    </w:tbl>
    <w:p>
      <w:pPr>
        <w:spacing w:after="100"/>
      </w:pPr>
      <w:r>
        <w:t xml:space="preserve"/>
      </w:r>
    </w:p>
    <w:p>
      <w:pPr>
        <w:pStyle w:val="Heading1"/>
      </w:pPr>
      <w:r>
        <w:t xml:space="preserve">3. SPECIFIC QUESTIONS FOR SPA AGREEMENT</w:t>
      </w:r>
    </w:p>
    <w:p>
      <w:pPr>
        <w:pBdr>
          <w:bottom w:val="single" w:color="2E75B6" w:sz="6" w:space="1"/>
        </w:pBdr>
        <w:spacing w:after="200"/>
      </w:pPr>
      <w:r>
        <w:t xml:space="preserve"/>
      </w:r>
    </w:p>
    <w:p>
      <w:pPr>
        <w:spacing w:after="160"/>
        <w:jc w:val="left"/>
      </w:pPr>
      <w:r>
        <w:rPr>
          <w:sz w:val="24"/>
          <w:szCs w:val="24"/>
        </w:rPr>
        <w:t xml:space="preserve">The Sponsor requests written FDA agreement on the following specific protocol elements. The Sponsor is prepared to revise the protocol prior to SPA submission to incorporate any feedback received at the EOP2 meeting.</w:t>
      </w:r>
    </w:p>
    <w:p>
      <w:pPr>
        <w:spacing w:after="100"/>
      </w:pPr>
      <w:r>
        <w:t xml:space="preserve"/>
      </w:r>
    </w:p>
    <w:p>
      <w:pPr>
        <w:pStyle w:val="Heading2"/>
      </w:pPr>
      <w:r>
        <w:t xml:space="preserve">3.1 Primary Endpoint Agreement</w:t>
      </w:r>
    </w:p>
    <w:p>
      <w:pPr>
        <w:spacing w:after="160"/>
        <w:jc w:val="left"/>
      </w:pPr>
      <w:r>
        <w:rPr>
          <w:sz w:val="24"/>
          <w:szCs w:val="24"/>
        </w:rPr>
        <w:t xml:space="preserve">SPA Question 1: Does FDA agree that PFS per RECIST v1.1 assessed by BICR is an acceptable primary endpoint for CERVIX-03 to support marketing approval (regular or accelerated) for cervimab in previously treated dMMR/MSI-H mCRC? Specifically:</w:t>
      </w:r>
    </w:p>
    <w:p>
      <w:pPr>
        <w:pStyle w:val="ListParagraph"/>
        <w:numPr>
          <w:ilvl w:val="0"/>
          <w:numId w:val="2"/>
        </w:numPr>
        <w:spacing w:after="80"/>
      </w:pPr>
      <w:r>
        <w:rPr>
          <w:sz w:val="24"/>
          <w:szCs w:val="24"/>
        </w:rPr>
        <w:t xml:space="preserve">Is a PFS HR of 0.60 with a median PFS improvement from 4.2 months (ICC) to 7.0 months (cervimab) considered a clinically meaningful benefit?</w:t>
      </w:r>
    </w:p>
    <w:p>
      <w:pPr>
        <w:pStyle w:val="ListParagraph"/>
        <w:numPr>
          <w:ilvl w:val="0"/>
          <w:numId w:val="2"/>
        </w:numPr>
        <w:spacing w:after="80"/>
      </w:pPr>
      <w:r>
        <w:rPr>
          <w:sz w:val="24"/>
          <w:szCs w:val="24"/>
        </w:rPr>
        <w:t xml:space="preserve">Is BICR assessment as the primary efficacy assessment acceptable, with investigator assessment as a supportive analysis?</w:t>
      </w:r>
    </w:p>
    <w:p>
      <w:pPr>
        <w:pStyle w:val="ListParagraph"/>
        <w:numPr>
          <w:ilvl w:val="0"/>
          <w:numId w:val="2"/>
        </w:numPr>
        <w:spacing w:after="80"/>
      </w:pPr>
      <w:r>
        <w:rPr>
          <w:sz w:val="24"/>
          <w:szCs w:val="24"/>
        </w:rPr>
        <w:t xml:space="preserve">Is censoring per the proposed composite strategy (see Estimands Document, Section 2) acceptable?</w:t>
      </w:r>
    </w:p>
    <w:p>
      <w:pPr>
        <w:spacing w:after="100"/>
      </w:pPr>
      <w:r>
        <w:t xml:space="preserve"/>
      </w:r>
    </w:p>
    <w:p>
      <w:pPr>
        <w:pStyle w:val="Heading2"/>
      </w:pPr>
      <w:r>
        <w:t xml:space="preserve">3.2 Statistical Analysis Plan Agreement</w:t>
      </w:r>
    </w:p>
    <w:p>
      <w:pPr>
        <w:spacing w:after="160"/>
        <w:jc w:val="left"/>
      </w:pPr>
      <w:r>
        <w:rPr>
          <w:sz w:val="24"/>
          <w:szCs w:val="24"/>
        </w:rPr>
        <w:t xml:space="preserve">SPA Question 2: Does FDA agree with the following statistical methodology:</w:t>
      </w:r>
    </w:p>
    <w:p>
      <w:pPr>
        <w:pStyle w:val="ListParagraph"/>
        <w:numPr>
          <w:ilvl w:val="0"/>
          <w:numId w:val="2"/>
        </w:numPr>
        <w:spacing w:after="80"/>
      </w:pPr>
      <w:r>
        <w:rPr>
          <w:sz w:val="24"/>
          <w:szCs w:val="24"/>
        </w:rPr>
        <w:t xml:space="preserve">Primary test: stratified log-rank test (stratified by the three stratification factors)</w:t>
      </w:r>
    </w:p>
    <w:p>
      <w:pPr>
        <w:pStyle w:val="ListParagraph"/>
        <w:numPr>
          <w:ilvl w:val="0"/>
          <w:numId w:val="2"/>
        </w:numPr>
        <w:spacing w:after="80"/>
      </w:pPr>
      <w:r>
        <w:rPr>
          <w:sz w:val="24"/>
          <w:szCs w:val="24"/>
        </w:rPr>
        <w:t xml:space="preserve">Sample size: 316 PFS events providing 90% power at HR = 0.60 with two-sided α = 0.05</w:t>
      </w:r>
    </w:p>
    <w:p>
      <w:pPr>
        <w:pStyle w:val="ListParagraph"/>
        <w:numPr>
          <w:ilvl w:val="0"/>
          <w:numId w:val="2"/>
        </w:numPr>
        <w:spacing w:after="80"/>
      </w:pPr>
      <w:r>
        <w:rPr>
          <w:sz w:val="24"/>
          <w:szCs w:val="24"/>
        </w:rPr>
        <w:t xml:space="preserve">Interim analysis: one PFS interim at 60% events using O'Brien-Fleming alpha spending; boundary for early stopping approximately HR ≤ 0.56, p &lt; 0.012</w:t>
      </w:r>
    </w:p>
    <w:p>
      <w:pPr>
        <w:pStyle w:val="ListParagraph"/>
        <w:numPr>
          <w:ilvl w:val="0"/>
          <w:numId w:val="2"/>
        </w:numPr>
        <w:spacing w:after="80"/>
      </w:pPr>
      <w:r>
        <w:rPr>
          <w:sz w:val="24"/>
          <w:szCs w:val="24"/>
        </w:rPr>
        <w:t xml:space="preserve">OS alpha allocation from hierarchical testing: OS tested after PFS with remaining alpha per group sequential design</w:t>
      </w:r>
    </w:p>
    <w:p>
      <w:pPr>
        <w:pStyle w:val="ListParagraph"/>
        <w:numPr>
          <w:ilvl w:val="0"/>
          <w:numId w:val="2"/>
        </w:numPr>
        <w:spacing w:after="80"/>
      </w:pPr>
      <w:r>
        <w:rPr>
          <w:sz w:val="24"/>
          <w:szCs w:val="24"/>
        </w:rPr>
        <w:t xml:space="preserve">Multiplicity control hierarchy: PFS → OS → ORR → HRQoL</w:t>
      </w:r>
    </w:p>
    <w:p>
      <w:pPr>
        <w:spacing w:after="100"/>
      </w:pPr>
      <w:r>
        <w:t xml:space="preserve"/>
      </w:r>
    </w:p>
    <w:p>
      <w:pPr>
        <w:pStyle w:val="Heading2"/>
      </w:pPr>
      <w:r>
        <w:t xml:space="preserve">3.3 Patient Population and Biomarker Testing Agreement</w:t>
      </w:r>
    </w:p>
    <w:p>
      <w:pPr>
        <w:spacing w:after="160"/>
        <w:jc w:val="left"/>
      </w:pPr>
      <w:r>
        <w:rPr>
          <w:sz w:val="24"/>
          <w:szCs w:val="24"/>
        </w:rPr>
        <w:t xml:space="preserve">SPA Question 3: Does FDA agree with the following patient eligibility and biomarker testing requirements:</w:t>
      </w:r>
    </w:p>
    <w:p>
      <w:pPr>
        <w:pStyle w:val="ListParagraph"/>
        <w:numPr>
          <w:ilvl w:val="0"/>
          <w:numId w:val="2"/>
        </w:numPr>
        <w:spacing w:after="80"/>
      </w:pPr>
      <w:r>
        <w:rPr>
          <w:sz w:val="24"/>
          <w:szCs w:val="24"/>
        </w:rPr>
        <w:t xml:space="preserve">Eligibility based on local dMMR/MSI-H testing (IHC, PCR, or NGS) from a CLIA-certified laboratory, with central confirmation performed retrospectively</w:t>
      </w:r>
    </w:p>
    <w:p>
      <w:pPr>
        <w:pStyle w:val="ListParagraph"/>
        <w:numPr>
          <w:ilvl w:val="0"/>
          <w:numId w:val="2"/>
        </w:numPr>
        <w:spacing w:after="80"/>
      </w:pPr>
      <w:r>
        <w:rPr>
          <w:sz w:val="24"/>
          <w:szCs w:val="24"/>
        </w:rPr>
        <w:t xml:space="preserve">ECOG PS 0–2 (rather than restricting to ECOG PS 0–1)</w:t>
      </w:r>
    </w:p>
    <w:p>
      <w:pPr>
        <w:pStyle w:val="ListParagraph"/>
        <w:numPr>
          <w:ilvl w:val="0"/>
          <w:numId w:val="2"/>
        </w:numPr>
        <w:spacing w:after="80"/>
      </w:pPr>
      <w:r>
        <w:rPr>
          <w:sz w:val="24"/>
          <w:szCs w:val="24"/>
        </w:rPr>
        <w:t xml:space="preserve">Up to 3 prior lines of systemic therapy (rather than a cap of 2 prior lines)</w:t>
      </w:r>
    </w:p>
    <w:p>
      <w:pPr>
        <w:pStyle w:val="ListParagraph"/>
        <w:numPr>
          <w:ilvl w:val="0"/>
          <w:numId w:val="2"/>
        </w:numPr>
        <w:spacing w:after="80"/>
      </w:pPr>
      <w:r>
        <w:rPr>
          <w:sz w:val="24"/>
          <w:szCs w:val="24"/>
        </w:rPr>
        <w:t xml:space="preserve">No restriction on presence of prior VEGF/VEGFR-targeted therapy</w:t>
      </w:r>
    </w:p>
    <w:p>
      <w:pPr>
        <w:spacing w:after="100"/>
      </w:pPr>
      <w:r>
        <w:t xml:space="preserve"/>
      </w:r>
    </w:p>
    <w:p>
      <w:pPr>
        <w:pStyle w:val="Heading2"/>
      </w:pPr>
      <w:r>
        <w:t xml:space="preserve">3.4 Control Arm Agreement</w:t>
      </w:r>
    </w:p>
    <w:p>
      <w:pPr>
        <w:spacing w:after="160"/>
        <w:jc w:val="left"/>
      </w:pPr>
      <w:r>
        <w:rPr>
          <w:sz w:val="24"/>
          <w:szCs w:val="24"/>
        </w:rPr>
        <w:t xml:space="preserve">SPA Question 4: Does FDA agree that the proposed active control arm (investigator's choice among FOLFIRI ± bevacizumab, regorafenib, or trifluridine/tipiracil) adequately represents the current standard of care in previously treated dMMR/MSI-H mCRC for purposes of regulatory approval? Does the inclusion of bevacizumab as optional with FOLFIRI introduce material confounding that would affect the regulatory interpretation?</w:t>
      </w:r>
    </w:p>
    <w:p>
      <w:pPr>
        <w:spacing w:after="100"/>
      </w:pPr>
      <w:r>
        <w:t xml:space="preserve"/>
      </w:r>
    </w:p>
    <w:p>
      <w:pPr>
        <w:pStyle w:val="Heading2"/>
      </w:pPr>
      <w:r>
        <w:t xml:space="preserve">3.5 OS Data Maturity at Primary Analysis</w:t>
      </w:r>
    </w:p>
    <w:p>
      <w:pPr>
        <w:spacing w:after="160"/>
        <w:jc w:val="left"/>
      </w:pPr>
      <w:r>
        <w:rPr>
          <w:sz w:val="24"/>
          <w:szCs w:val="24"/>
        </w:rPr>
        <w:t xml:space="preserve">SPA Question 5: Does FDA agree that a final OS analysis at approximately 70% of required OS events (planned approximately 36 months after last patient enrolled) with concurrent final PFS analysis is sufficient to support full approval if both PFS and OS results are positive? Alternatively, if only PFS meets the primary endpoint at the planned analysis, would accelerated approval with confirmatory OS data be an acceptable pathway?</w:t>
      </w:r>
    </w:p>
    <w:p>
      <w:pPr>
        <w:spacing w:after="100"/>
      </w:pPr>
      <w:r>
        <w:t xml:space="preserve"/>
      </w:r>
    </w:p>
    <w:p>
      <w:pPr>
        <w:pStyle w:val="Heading1"/>
      </w:pPr>
      <w:r>
        <w:t xml:space="preserve">4. TIMELINE AND PROCESS COMMITMENTS</w:t>
      </w:r>
    </w:p>
    <w:p>
      <w:pPr>
        <w:pBdr>
          <w:bottom w:val="single" w:color="2E75B6"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SPA Submission Date: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Targeted Q3 2026 (following EOP2 meeting agreement); full protocol to be finalized within 90 days of EOP2 meeting</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FDA Review Period: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45 days per 21 CFR § 312.82(b); Sponsor requests a meeting within 14 days if FDA has outstanding questions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Protocol Lock:</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 patient enrollment in CERVIX-03 prior to obtaining SPA agreement or receiving written FDA communication that agreement cannot be reached</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Protocol Amendments: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Sponsor commits to submitting any material protocol amendment as an SPA amendment request per 21 CFR § 312.82(e) prior to implementation</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Statistical Analysis Plan: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SAP to be finalized and submitted to FDA at least 6 months prior to primary analysis data cutoff; SAP will be consistent with the estimands and endpoints described in this request</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DSMB Charter:</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Independent DSMB charter to be submitted as protocol amendment after SPA agreement; DSMB to include independent oncologist, biostatistician, and safety monitoring expert</w:t>
            </w:r>
          </w:p>
        </w:tc>
      </w:tr>
    </w:tbl>
    <w:p>
      <w:pPr>
        <w:spacing w:after="100"/>
      </w:pPr>
      <w:r>
        <w:t xml:space="preserve"/>
      </w:r>
    </w:p>
    <w:p>
      <w:pPr>
        <w:pStyle w:val="Heading1"/>
      </w:pPr>
      <w:r>
        <w:t xml:space="preserve">5. REGULATORY HISTORY AND CONTEXT</w:t>
      </w:r>
    </w:p>
    <w:p>
      <w:pPr>
        <w:pBdr>
          <w:bottom w:val="single" w:color="2E75B6" w:sz="6" w:space="1"/>
        </w:pBdr>
        <w:spacing w:after="200"/>
      </w:pPr>
      <w:r>
        <w:t xml:space="preserve"/>
      </w:r>
    </w:p>
    <w:p>
      <w:pPr>
        <w:spacing w:after="160"/>
        <w:jc w:val="left"/>
      </w:pPr>
      <w:r>
        <w:rPr>
          <w:sz w:val="24"/>
          <w:szCs w:val="24"/>
        </w:rPr>
        <w:t xml:space="preserve">The following prior FDA interactions are relevant to this SPA request: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5040"/>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Date</w:t>
            </w:r>
          </w:p>
        </w:tc>
        <w:tc>
          <w:tcPr>
            <w:tcW w:type="dxa" w:w="25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Interaction</w:t>
            </w:r>
          </w:p>
        </w:tc>
        <w:tc>
          <w:tcPr>
            <w:tcW w:type="dxa" w:w="504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Outcome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Feb 2022</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IND 123456 Submission</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IND placed on Clinical Hold — resolved May 2022 (manufacturing hold removed)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Oct 2022</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Type C Meeting — PK/Dose Selection</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FDA agreed with 400 mg Q6W fixed dose; PK/PD modeling accepted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Mar 2023</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Type B Meeting — Phase 2 Design</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FDA agreed with Phase 2 design; ORR as primary endpoint; BICR requirement confirmed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Jun 2024</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Breakthrough Therapy Designation (BTD) Request</w:t>
            </w:r>
          </w:p>
        </w:tc>
        <w:tc>
          <w:tcPr>
            <w:tcW w:type="dxa" w:w="50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BTD granted for cervimab in previously treated dMMR/MSI-H mCRC (June 2024)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Mar 2026</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EOP2 Meeting Request (current)</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Pending — submitted concurrently with this SPA request draft</w:t>
            </w:r>
          </w:p>
        </w:tc>
      </w:tr>
    </w:tbl>
    <w:p>
      <w:pPr>
        <w:spacing w:after="100"/>
      </w:pPr>
      <w:r>
        <w:t xml:space="preserve"/>
      </w:r>
    </w:p>
    <w:p>
      <w:pPr>
        <w:spacing w:after="160"/>
        <w:jc w:val="left"/>
      </w:pPr>
      <w:r>
        <w:rPr>
          <w:i/>
          <w:iCs/>
          <w:sz w:val="24"/>
          <w:szCs w:val="24"/>
        </w:rPr>
        <w:t xml:space="preserve">Given that cervimab has received Breakthrough Therapy Designation (BTD), the Sponsor notes that BTD-designated products are eligible for expedited SPA review. The Sponsor respectfully requests that FDA prioritize the SPA review in accordance with BTD program commitments.</w:t>
      </w:r>
    </w:p>
    <w:p>
      <w:pPr>
        <w:spacing w:after="100"/>
      </w:pPr>
      <w:r>
        <w:t xml:space="preserve"/>
      </w:r>
    </w:p>
    <w:p>
      <w:pPr>
        <w:pStyle w:val="Heading1"/>
      </w:pPr>
      <w:r>
        <w:t xml:space="preserve">6. ATTACHMENTS</w:t>
      </w:r>
    </w:p>
    <w:p>
      <w:pPr>
        <w:pBdr>
          <w:bottom w:val="single" w:color="2E75B6" w:sz="6" w:space="1"/>
        </w:pBdr>
        <w:spacing w:after="200"/>
      </w:pPr>
      <w:r>
        <w:t xml:space="preserve"/>
      </w:r>
    </w:p>
    <w:p>
      <w:pPr>
        <w:pStyle w:val="ListParagraph"/>
        <w:numPr>
          <w:ilvl w:val="0"/>
          <w:numId w:val="2"/>
        </w:numPr>
        <w:spacing w:after="80"/>
      </w:pPr>
      <w:r>
        <w:rPr>
          <w:sz w:val="24"/>
          <w:szCs w:val="24"/>
        </w:rPr>
        <w:t xml:space="preserve">Attachment A: Full Phase 3 Protocol Synopsis (CERVIX-03, Version 1.0)</w:t>
      </w:r>
    </w:p>
    <w:p>
      <w:pPr>
        <w:pStyle w:val="ListParagraph"/>
        <w:numPr>
          <w:ilvl w:val="0"/>
          <w:numId w:val="2"/>
        </w:numPr>
        <w:spacing w:after="80"/>
      </w:pPr>
      <w:r>
        <w:rPr>
          <w:sz w:val="24"/>
          <w:szCs w:val="24"/>
        </w:rPr>
        <w:t xml:space="preserve">Attachment B: Statistical Analysis Plan Outline</w:t>
      </w:r>
    </w:p>
    <w:p>
      <w:pPr>
        <w:pStyle w:val="ListParagraph"/>
        <w:numPr>
          <w:ilvl w:val="0"/>
          <w:numId w:val="2"/>
        </w:numPr>
        <w:spacing w:after="80"/>
      </w:pPr>
      <w:r>
        <w:rPr>
          <w:sz w:val="24"/>
          <w:szCs w:val="24"/>
        </w:rPr>
        <w:t xml:space="preserve">Attachment C: Estimands Document (ICH E9(R1) Framework)</w:t>
      </w:r>
    </w:p>
    <w:p>
      <w:pPr>
        <w:pStyle w:val="ListParagraph"/>
        <w:numPr>
          <w:ilvl w:val="0"/>
          <w:numId w:val="2"/>
        </w:numPr>
        <w:spacing w:after="80"/>
      </w:pPr>
      <w:r>
        <w:rPr>
          <w:sz w:val="24"/>
          <w:szCs w:val="24"/>
        </w:rPr>
        <w:t xml:space="preserve">Attachment D: Sample Size Calculations and Supporting Simulations</w:t>
      </w:r>
    </w:p>
    <w:p>
      <w:pPr>
        <w:pStyle w:val="ListParagraph"/>
        <w:numPr>
          <w:ilvl w:val="0"/>
          <w:numId w:val="2"/>
        </w:numPr>
        <w:spacing w:after="80"/>
      </w:pPr>
      <w:r>
        <w:rPr>
          <w:sz w:val="24"/>
          <w:szCs w:val="24"/>
        </w:rPr>
        <w:t xml:space="preserve">Attachment E: CERVIX-02 Pivotal Phase 2 Study Report Summary</w:t>
      </w:r>
    </w:p>
    <w:p>
      <w:pPr>
        <w:pStyle w:val="ListParagraph"/>
        <w:numPr>
          <w:ilvl w:val="0"/>
          <w:numId w:val="2"/>
        </w:numPr>
        <w:spacing w:after="80"/>
      </w:pPr>
      <w:r>
        <w:rPr>
          <w:sz w:val="24"/>
          <w:szCs w:val="24"/>
        </w:rPr>
        <w:t xml:space="preserve">Attachment F: BTD Designation Letter (FDA, June 2024)</w:t>
      </w:r>
    </w:p>
    <w:p>
      <w:pPr>
        <w:pStyle w:val="ListParagraph"/>
        <w:numPr>
          <w:ilvl w:val="0"/>
          <w:numId w:val="2"/>
        </w:numPr>
        <w:spacing w:after="80"/>
      </w:pPr>
      <w:r>
        <w:rPr>
          <w:sz w:val="24"/>
          <w:szCs w:val="24"/>
        </w:rPr>
        <w:t xml:space="preserve">Attachment G: IND 123456 — Most Recent Annual Report</w:t>
      </w:r>
    </w:p>
    <w:p>
      <w:pPr>
        <w:spacing w:after="100"/>
      </w:pPr>
      <w:r>
        <w:t xml:space="preserve"/>
      </w:r>
    </w:p>
    <w:p>
      <w:pPr>
        <w:pBdr>
          <w:top w:val="single" w:color="2E75B6" w:sz="4" w:space="8"/>
        </w:pBdr>
        <w:spacing w:before="400"/>
        <w:jc w:val="center"/>
      </w:pPr>
      <w:r>
        <w:rPr>
          <w:i/>
          <w:iCs/>
          <w:color w:val="888888"/>
          <w:sz w:val="22"/>
          <w:szCs w:val="22"/>
        </w:rPr>
        <w:t xml:space="preserve">— End of SPA Request —</w:t>
      </w:r>
    </w:p>
    <w:sectPr>
      <w:headerReference w:type="default" r:id="rId6"/>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color w:val="666666"/>
        <w:sz w:val="18"/>
        <w:szCs w:val="18"/>
      </w:rPr>
      <w:t xml:space="preserve">CONFIDENTIAL — Special Protocol Assessment Request — CERVIX-03 | Cervimab | IND 123456 | Vexion Therapeutics  </w:t>
    </w:r>
    <w:r>
      <w:rPr>
        <w:color w:val="666666"/>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2026-03-16T13:57:25.973Z</dcterms:created>
  <dcterms:modified xsi:type="dcterms:W3CDTF">2026-03-16T13:57:25.973Z</dcterms:modified>
</cp:coreProperties>
</file>

<file path=docProps/custom.xml><?xml version="1.0" encoding="utf-8"?>
<Properties xmlns="http://schemas.openxmlformats.org/officeDocument/2006/custom-properties" xmlns:vt="http://schemas.openxmlformats.org/officeDocument/2006/docPropsVTypes"/>
</file>